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2B4FF38A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____</w:t>
      </w:r>
      <w:r w:rsidR="00222405">
        <w:rPr>
          <w:rFonts w:ascii="Times New Roman" w:hAnsi="Times New Roman"/>
        </w:rPr>
        <w:t>personiskais paraksts</w:t>
      </w:r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50EE6A43" w14:textId="465F834F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B10124">
        <w:rPr>
          <w:rFonts w:ascii="Times New Roman" w:hAnsi="Times New Roman"/>
        </w:rPr>
        <w:t>17</w:t>
      </w:r>
      <w:r w:rsidR="00A62487">
        <w:rPr>
          <w:rFonts w:ascii="Times New Roman" w:hAnsi="Times New Roman"/>
        </w:rPr>
        <w:t>.februārī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FA1AD3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A1AD3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FA1AD3" w:rsidRDefault="00C554A7" w:rsidP="00863E9B">
      <w:pPr>
        <w:pStyle w:val="Title"/>
        <w:rPr>
          <w:b w:val="0"/>
          <w:sz w:val="22"/>
          <w:szCs w:val="22"/>
        </w:rPr>
      </w:pPr>
      <w:r w:rsidRPr="00FA1AD3">
        <w:rPr>
          <w:b w:val="0"/>
          <w:sz w:val="22"/>
          <w:szCs w:val="22"/>
        </w:rPr>
        <w:t xml:space="preserve">Daugavpils </w:t>
      </w:r>
      <w:proofErr w:type="spellStart"/>
      <w:r w:rsidRPr="00FA1AD3">
        <w:rPr>
          <w:b w:val="0"/>
          <w:sz w:val="22"/>
          <w:szCs w:val="22"/>
        </w:rPr>
        <w:t>valstspilsētas</w:t>
      </w:r>
      <w:proofErr w:type="spellEnd"/>
      <w:r w:rsidRPr="00FA1AD3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50006F12" w14:textId="73E62B1E" w:rsidR="00FA1AD3" w:rsidRPr="00FA1AD3" w:rsidRDefault="00FA1AD3" w:rsidP="00FA1AD3">
      <w:pPr>
        <w:jc w:val="center"/>
        <w:rPr>
          <w:rFonts w:ascii="Times New Roman" w:hAnsi="Times New Roman"/>
          <w:b/>
        </w:rPr>
      </w:pPr>
      <w:r w:rsidRPr="00FA1AD3">
        <w:rPr>
          <w:rFonts w:ascii="Times New Roman" w:hAnsi="Times New Roman"/>
        </w:rPr>
        <w:t>„</w:t>
      </w:r>
      <w:r w:rsidRPr="00FA1AD3">
        <w:rPr>
          <w:rFonts w:ascii="Times New Roman" w:hAnsi="Times New Roman"/>
          <w:b/>
          <w:bCs/>
        </w:rPr>
        <w:t>Karūsu  mazuļu piegāde un ielaišana Lielajā Stropu ezerā</w:t>
      </w:r>
      <w:r w:rsidR="006C2A72">
        <w:rPr>
          <w:rFonts w:ascii="Times New Roman" w:hAnsi="Times New Roman"/>
          <w:b/>
          <w:bCs/>
        </w:rPr>
        <w:t xml:space="preserve"> „ </w:t>
      </w:r>
      <w:r w:rsidRPr="00FA1AD3">
        <w:rPr>
          <w:rFonts w:ascii="Times New Roman" w:hAnsi="Times New Roman"/>
          <w:b/>
        </w:rPr>
        <w:t xml:space="preserve">ID </w:t>
      </w:r>
      <w:proofErr w:type="spellStart"/>
      <w:r w:rsidRPr="00FA1AD3">
        <w:rPr>
          <w:rFonts w:ascii="Times New Roman" w:hAnsi="Times New Roman"/>
          <w:b/>
        </w:rPr>
        <w:t>Nr.DVPI</w:t>
      </w:r>
      <w:proofErr w:type="spellEnd"/>
      <w:r w:rsidRPr="00FA1AD3">
        <w:rPr>
          <w:rFonts w:ascii="Times New Roman" w:hAnsi="Times New Roman"/>
          <w:b/>
        </w:rPr>
        <w:t xml:space="preserve"> KSP 2025/06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1DD757A4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1C187B">
        <w:rPr>
          <w:rFonts w:ascii="Times New Roman" w:hAnsi="Times New Roman"/>
          <w:bCs/>
          <w:u w:val="single"/>
        </w:rPr>
        <w:t>05.02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69DD66C8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1C187B">
        <w:rPr>
          <w:rFonts w:ascii="Times New Roman" w:hAnsi="Times New Roman"/>
          <w:bCs/>
        </w:rPr>
        <w:t>11.02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40"/>
        <w:gridCol w:w="1588"/>
        <w:gridCol w:w="1843"/>
        <w:gridCol w:w="2126"/>
      </w:tblGrid>
      <w:tr w:rsidR="003C1B2E" w:rsidRPr="0058175B" w14:paraId="7526058A" w14:textId="47EE1673" w:rsidTr="00FF0F29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88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FF0F29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940" w:type="dxa"/>
            <w:shd w:val="clear" w:color="auto" w:fill="auto"/>
          </w:tcPr>
          <w:p w14:paraId="3EC30BD5" w14:textId="43C93673" w:rsidR="001C3E23" w:rsidRPr="00973FA1" w:rsidRDefault="006C2A72" w:rsidP="0058175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IK „AQUALATS”</w:t>
            </w:r>
            <w:r w:rsidRPr="007F585F">
              <w:rPr>
                <w:b/>
                <w:sz w:val="20"/>
                <w:szCs w:val="20"/>
              </w:rPr>
              <w:t>, Reģ.Nr.</w:t>
            </w:r>
            <w:r>
              <w:rPr>
                <w:b/>
                <w:sz w:val="20"/>
                <w:szCs w:val="20"/>
              </w:rPr>
              <w:t>42402016141</w:t>
            </w:r>
            <w:r w:rsidRPr="007F585F">
              <w:rPr>
                <w:sz w:val="20"/>
                <w:szCs w:val="20"/>
              </w:rPr>
              <w:t>, juridiskā a</w:t>
            </w:r>
            <w:r>
              <w:rPr>
                <w:sz w:val="20"/>
                <w:szCs w:val="20"/>
              </w:rPr>
              <w:t xml:space="preserve">drese: </w:t>
            </w:r>
            <w:proofErr w:type="spellStart"/>
            <w:r>
              <w:rPr>
                <w:sz w:val="20"/>
                <w:szCs w:val="20"/>
              </w:rPr>
              <w:t>Ramaškas</w:t>
            </w:r>
            <w:proofErr w:type="spellEnd"/>
            <w:r>
              <w:rPr>
                <w:sz w:val="20"/>
                <w:szCs w:val="20"/>
              </w:rPr>
              <w:t>, Čirkas, Dricānu pagasts,  Rēzeknes novads, LV-4615.</w:t>
            </w:r>
          </w:p>
        </w:tc>
        <w:tc>
          <w:tcPr>
            <w:tcW w:w="1588" w:type="dxa"/>
            <w:vAlign w:val="center"/>
          </w:tcPr>
          <w:p w14:paraId="6F826CBA" w14:textId="3A108E49" w:rsidR="008E3351" w:rsidRDefault="001C187B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10.02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5601C176" w:rsidR="001C3E23" w:rsidRPr="0058175B" w:rsidRDefault="006C2A72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plkst.21:35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2915974E" w:rsidR="001C3E23" w:rsidRPr="0058175B" w:rsidRDefault="006C2A72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8000.00</w:t>
            </w:r>
          </w:p>
        </w:tc>
        <w:tc>
          <w:tcPr>
            <w:tcW w:w="2126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6C2A72" w:rsidRPr="0058175B" w14:paraId="7CF84DC2" w14:textId="77777777" w:rsidTr="00FF0F29">
        <w:tc>
          <w:tcPr>
            <w:tcW w:w="709" w:type="dxa"/>
            <w:shd w:val="clear" w:color="auto" w:fill="auto"/>
            <w:vAlign w:val="center"/>
          </w:tcPr>
          <w:p w14:paraId="3AE45AA7" w14:textId="5CCC17AA" w:rsidR="006C2A72" w:rsidRPr="0058175B" w:rsidRDefault="006C2A72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40" w:type="dxa"/>
            <w:shd w:val="clear" w:color="auto" w:fill="auto"/>
          </w:tcPr>
          <w:p w14:paraId="65769E45" w14:textId="00D8EAEB" w:rsidR="006C2A72" w:rsidRDefault="006C2A72" w:rsidP="00FF0F29">
            <w:pPr>
              <w:pStyle w:val="Heading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Sabiedrība ar ierobežotu atbildību „ K&amp;K </w:t>
            </w:r>
            <w:proofErr w:type="spellStart"/>
            <w:r w:rsidR="00FF0F29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gt</w:t>
            </w:r>
            <w:proofErr w:type="spellEnd"/>
            <w:r>
              <w:rPr>
                <w:b/>
                <w:sz w:val="20"/>
                <w:szCs w:val="20"/>
              </w:rPr>
              <w:t>”,</w:t>
            </w:r>
            <w:r w:rsidR="00FF0F2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Reģ.Nr.40203301944,</w:t>
            </w:r>
            <w:r>
              <w:rPr>
                <w:sz w:val="20"/>
                <w:szCs w:val="20"/>
              </w:rPr>
              <w:t>juridiskā adrese: Tomiņi, Skrudalienas pagast</w:t>
            </w:r>
            <w:r w:rsidR="00000828">
              <w:rPr>
                <w:sz w:val="20"/>
                <w:szCs w:val="20"/>
              </w:rPr>
              <w:t xml:space="preserve">s, </w:t>
            </w:r>
            <w:proofErr w:type="spellStart"/>
            <w:r w:rsidR="00000828">
              <w:rPr>
                <w:sz w:val="20"/>
                <w:szCs w:val="20"/>
              </w:rPr>
              <w:t>Augšdaugavas</w:t>
            </w:r>
            <w:proofErr w:type="spellEnd"/>
            <w:r w:rsidR="00000828">
              <w:rPr>
                <w:sz w:val="20"/>
                <w:szCs w:val="20"/>
              </w:rPr>
              <w:t xml:space="preserve"> novads, LV-5470.</w:t>
            </w:r>
          </w:p>
        </w:tc>
        <w:tc>
          <w:tcPr>
            <w:tcW w:w="1588" w:type="dxa"/>
            <w:vAlign w:val="center"/>
          </w:tcPr>
          <w:p w14:paraId="6123E8F8" w14:textId="13D6DD80" w:rsidR="00000828" w:rsidRDefault="00000828" w:rsidP="00000828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11.02.2025. </w:t>
            </w:r>
          </w:p>
          <w:p w14:paraId="12A2A299" w14:textId="18F3C5FA" w:rsidR="006C2A72" w:rsidRDefault="00000828" w:rsidP="00000828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plkst.10:55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447FC8" w14:textId="5AFEB6A6" w:rsidR="006C2A72" w:rsidRDefault="00000828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7200.00</w:t>
            </w:r>
          </w:p>
        </w:tc>
        <w:tc>
          <w:tcPr>
            <w:tcW w:w="2126" w:type="dxa"/>
            <w:vAlign w:val="center"/>
          </w:tcPr>
          <w:p w14:paraId="52E6D7F9" w14:textId="42A2D797" w:rsidR="006C2A72" w:rsidRDefault="00000828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4"/>
        <w:gridCol w:w="1560"/>
        <w:gridCol w:w="2126"/>
        <w:gridCol w:w="1417"/>
        <w:gridCol w:w="2014"/>
      </w:tblGrid>
      <w:tr w:rsidR="00AA07CB" w:rsidRPr="0058175B" w14:paraId="060CC544" w14:textId="77777777" w:rsidTr="00FF0F29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F74842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4CA6B70" w14:textId="77777777" w:rsidR="00AA07CB" w:rsidRPr="00F74842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8886EB" w14:textId="693C7896" w:rsidR="00AA07CB" w:rsidRPr="00F74842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>Atbilstības</w:t>
            </w:r>
            <w:r w:rsidR="00AA07CB" w:rsidRPr="00F74842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F74842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126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417" w:type="dxa"/>
            <w:vAlign w:val="center"/>
          </w:tcPr>
          <w:p w14:paraId="6729B325" w14:textId="1D8B0BFB" w:rsidR="00AA07CB" w:rsidRPr="0058175B" w:rsidRDefault="001F695C" w:rsidP="000008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FF0F29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F74842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4842">
              <w:rPr>
                <w:rFonts w:ascii="Times New Roman" w:hAnsi="Times New Roman"/>
              </w:rPr>
              <w:t>1</w:t>
            </w:r>
            <w:r w:rsidR="00650A51" w:rsidRPr="00F74842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14:paraId="4F037A3B" w14:textId="029BCC48" w:rsidR="00650A51" w:rsidRPr="00F74842" w:rsidRDefault="00F74842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74842">
              <w:rPr>
                <w:rFonts w:ascii="Times New Roman" w:hAnsi="Times New Roman"/>
                <w:b/>
                <w:sz w:val="20"/>
                <w:szCs w:val="20"/>
              </w:rPr>
              <w:t>IK „AQUALATS”, Reģ.Nr.42402016141</w:t>
            </w:r>
            <w:r w:rsidRPr="00F74842">
              <w:rPr>
                <w:rFonts w:ascii="Times New Roman" w:hAnsi="Times New Roman"/>
                <w:sz w:val="20"/>
                <w:szCs w:val="20"/>
              </w:rPr>
              <w:t xml:space="preserve">, juridiskā adrese: </w:t>
            </w:r>
            <w:proofErr w:type="spellStart"/>
            <w:r w:rsidRPr="00F74842">
              <w:rPr>
                <w:rFonts w:ascii="Times New Roman" w:hAnsi="Times New Roman"/>
                <w:sz w:val="20"/>
                <w:szCs w:val="20"/>
              </w:rPr>
              <w:t>Ramaškas</w:t>
            </w:r>
            <w:proofErr w:type="spellEnd"/>
            <w:r w:rsidRPr="00F74842">
              <w:rPr>
                <w:rFonts w:ascii="Times New Roman" w:hAnsi="Times New Roman"/>
                <w:sz w:val="20"/>
                <w:szCs w:val="20"/>
              </w:rPr>
              <w:t>, Čirkas, Dricānu pagasts,  Rēzeknes novads, LV-4615.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74F6E9" w14:textId="5DBE1EC9" w:rsidR="00650A51" w:rsidRPr="00F74842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4842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126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417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71C1D957" w:rsidR="00650A51" w:rsidRPr="0058175B" w:rsidRDefault="00AC087A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------------</w:t>
            </w:r>
          </w:p>
        </w:tc>
      </w:tr>
      <w:tr w:rsidR="00AC087A" w:rsidRPr="0058175B" w14:paraId="28E6C653" w14:textId="77777777" w:rsidTr="00FF0F29">
        <w:tc>
          <w:tcPr>
            <w:tcW w:w="709" w:type="dxa"/>
            <w:shd w:val="clear" w:color="auto" w:fill="auto"/>
            <w:vAlign w:val="center"/>
          </w:tcPr>
          <w:p w14:paraId="42C69527" w14:textId="38532842" w:rsidR="00AC087A" w:rsidRPr="00F74842" w:rsidRDefault="00AC087A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64" w:type="dxa"/>
            <w:shd w:val="clear" w:color="auto" w:fill="auto"/>
          </w:tcPr>
          <w:p w14:paraId="63249F4F" w14:textId="225144CB" w:rsidR="00AC087A" w:rsidRDefault="00AC087A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32A2">
              <w:rPr>
                <w:rFonts w:ascii="Times New Roman" w:hAnsi="Times New Roman"/>
                <w:b/>
                <w:sz w:val="20"/>
                <w:szCs w:val="20"/>
              </w:rPr>
              <w:t xml:space="preserve">Sabiedrība ar ierobežotu atbildību„ K&amp;K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6932A2">
              <w:rPr>
                <w:rFonts w:ascii="Times New Roman" w:hAnsi="Times New Roman"/>
                <w:b/>
                <w:sz w:val="20"/>
                <w:szCs w:val="20"/>
              </w:rPr>
              <w:t>gt”,Reģ.Nr.40203301944,</w:t>
            </w:r>
          </w:p>
          <w:p w14:paraId="5754C5D2" w14:textId="0F00873F" w:rsidR="00AC087A" w:rsidRPr="006932A2" w:rsidRDefault="00AC087A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32A2">
              <w:rPr>
                <w:rFonts w:ascii="Times New Roman" w:hAnsi="Times New Roman"/>
                <w:sz w:val="20"/>
                <w:szCs w:val="20"/>
              </w:rPr>
              <w:t xml:space="preserve">juridiskā adrese: Tomiņi, Skrudalienas pagasts, </w:t>
            </w:r>
            <w:proofErr w:type="spellStart"/>
            <w:r w:rsidRPr="006932A2">
              <w:rPr>
                <w:rFonts w:ascii="Times New Roman" w:hAnsi="Times New Roman"/>
                <w:sz w:val="20"/>
                <w:szCs w:val="20"/>
              </w:rPr>
              <w:t>Augšdaugavas</w:t>
            </w:r>
            <w:proofErr w:type="spellEnd"/>
            <w:r w:rsidRPr="006932A2">
              <w:rPr>
                <w:rFonts w:ascii="Times New Roman" w:hAnsi="Times New Roman"/>
                <w:sz w:val="20"/>
                <w:szCs w:val="20"/>
              </w:rPr>
              <w:t xml:space="preserve"> novads, LV-5470.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35DC28" w14:textId="34D6D77D" w:rsidR="00AC087A" w:rsidRPr="00F74842" w:rsidRDefault="00AC087A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74842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126" w:type="dxa"/>
            <w:vAlign w:val="center"/>
          </w:tcPr>
          <w:p w14:paraId="2F4BE6B0" w14:textId="3115A89C" w:rsidR="00AC087A" w:rsidRPr="0058175B" w:rsidRDefault="00AC087A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417" w:type="dxa"/>
            <w:vAlign w:val="center"/>
          </w:tcPr>
          <w:p w14:paraId="0DDDC6F5" w14:textId="26F2261D" w:rsidR="00AC087A" w:rsidRPr="0058175B" w:rsidRDefault="00AC087A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10265064" w14:textId="3720EED8" w:rsidR="00AC087A" w:rsidRPr="0058175B" w:rsidRDefault="00B75B27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</w:t>
            </w:r>
            <w:bookmarkStart w:id="0" w:name="_GoBack"/>
            <w:bookmarkEnd w:id="0"/>
          </w:p>
        </w:tc>
      </w:tr>
    </w:tbl>
    <w:p w14:paraId="210E6449" w14:textId="1D1FDF4B" w:rsidR="000C4131" w:rsidRPr="0058175B" w:rsidRDefault="00AC087A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INFORMĀCIJA </w:t>
      </w:r>
      <w:r w:rsidR="000C4131" w:rsidRPr="0058175B">
        <w:rPr>
          <w:rFonts w:ascii="Times New Roman" w:hAnsi="Times New Roman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69FB8090" w:rsidR="00C633CF" w:rsidRPr="0058175B" w:rsidRDefault="00C71C5B" w:rsidP="00C71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Lēmums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05AE27AA" w14:textId="77777777" w:rsidR="00AC087A" w:rsidRPr="006A4DC4" w:rsidRDefault="00AC087A" w:rsidP="00AC087A">
            <w:pPr>
              <w:pStyle w:val="BodyTextIndent2"/>
              <w:spacing w:after="0" w:line="240" w:lineRule="auto"/>
              <w:ind w:left="0" w:firstLine="720"/>
              <w:jc w:val="both"/>
              <w:rPr>
                <w:sz w:val="20"/>
                <w:szCs w:val="20"/>
                <w:lang w:val="lv-LV"/>
              </w:rPr>
            </w:pPr>
            <w:r w:rsidRPr="006A4DC4">
              <w:rPr>
                <w:sz w:val="20"/>
                <w:szCs w:val="20"/>
                <w:lang w:val="lv-LV"/>
              </w:rPr>
              <w:t>Komisija nolemj izbeigt šo iepirkuma procedūru bez rezultātiem</w:t>
            </w:r>
            <w:r>
              <w:rPr>
                <w:sz w:val="20"/>
                <w:szCs w:val="20"/>
                <w:lang w:val="lv-LV"/>
              </w:rPr>
              <w:t xml:space="preserve"> un v</w:t>
            </w:r>
            <w:r w:rsidRPr="006A4DC4">
              <w:rPr>
                <w:sz w:val="20"/>
                <w:szCs w:val="20"/>
                <w:lang w:val="lv-LV"/>
              </w:rPr>
              <w:t xml:space="preserve">eikt jaunu iepirkumu procedūru, kas pakļauts Publisko iepirkumu likuma tiesiskajam regulējumam, un to veiks Daugavpils </w:t>
            </w:r>
            <w:proofErr w:type="spellStart"/>
            <w:r w:rsidRPr="006A4DC4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Pr="006A4DC4">
              <w:rPr>
                <w:sz w:val="20"/>
                <w:szCs w:val="20"/>
                <w:lang w:val="lv-LV"/>
              </w:rPr>
              <w:t xml:space="preserve"> pašvaldības iestādes “Daugavpils pašvaldības centrālā pārvalde”  Centralizēto iepirkumu nodaļa.</w:t>
            </w:r>
          </w:p>
          <w:p w14:paraId="52F309BE" w14:textId="42F53092" w:rsidR="00DC66D3" w:rsidRPr="00AC087A" w:rsidRDefault="00DC66D3" w:rsidP="00581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5FDCC72E" w:rsidR="002D4F56" w:rsidRPr="0058175B" w:rsidRDefault="00036A56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inženieris </w:t>
      </w:r>
      <w:proofErr w:type="spellStart"/>
      <w:r>
        <w:rPr>
          <w:rFonts w:ascii="Times New Roman" w:hAnsi="Times New Roman"/>
        </w:rPr>
        <w:t>K.Laizāns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0828"/>
    <w:rsid w:val="00025614"/>
    <w:rsid w:val="00036A56"/>
    <w:rsid w:val="000458B3"/>
    <w:rsid w:val="000502EC"/>
    <w:rsid w:val="0006134D"/>
    <w:rsid w:val="00061F2D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6111D"/>
    <w:rsid w:val="00193673"/>
    <w:rsid w:val="00197C89"/>
    <w:rsid w:val="001C187B"/>
    <w:rsid w:val="001C3E23"/>
    <w:rsid w:val="001F695C"/>
    <w:rsid w:val="001F726F"/>
    <w:rsid w:val="0020023D"/>
    <w:rsid w:val="00210013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83174"/>
    <w:rsid w:val="006910C1"/>
    <w:rsid w:val="006932A2"/>
    <w:rsid w:val="006955CC"/>
    <w:rsid w:val="006969E5"/>
    <w:rsid w:val="006A7E85"/>
    <w:rsid w:val="006B081B"/>
    <w:rsid w:val="006B48C6"/>
    <w:rsid w:val="006C2A72"/>
    <w:rsid w:val="006C587C"/>
    <w:rsid w:val="006D056C"/>
    <w:rsid w:val="006F7DDD"/>
    <w:rsid w:val="007154CF"/>
    <w:rsid w:val="007217E5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454E0"/>
    <w:rsid w:val="00863E9B"/>
    <w:rsid w:val="00882B36"/>
    <w:rsid w:val="008D3C06"/>
    <w:rsid w:val="008E3351"/>
    <w:rsid w:val="00907587"/>
    <w:rsid w:val="00927140"/>
    <w:rsid w:val="0096281F"/>
    <w:rsid w:val="00973FA1"/>
    <w:rsid w:val="0097480D"/>
    <w:rsid w:val="0099174E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C087A"/>
    <w:rsid w:val="00AD1210"/>
    <w:rsid w:val="00AF415F"/>
    <w:rsid w:val="00B10124"/>
    <w:rsid w:val="00B26D29"/>
    <w:rsid w:val="00B44B85"/>
    <w:rsid w:val="00B60EEF"/>
    <w:rsid w:val="00B75B27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554A7"/>
    <w:rsid w:val="00C633CF"/>
    <w:rsid w:val="00C71C5B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581D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74842"/>
    <w:rsid w:val="00FA1AD3"/>
    <w:rsid w:val="00FA7440"/>
    <w:rsid w:val="00FA7C8C"/>
    <w:rsid w:val="00FE55C0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C08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C087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AC08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C087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6DC3-D461-4D28-A211-A22DE5A5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40</cp:revision>
  <cp:lastPrinted>2025-02-12T09:47:00Z</cp:lastPrinted>
  <dcterms:created xsi:type="dcterms:W3CDTF">2024-04-03T07:49:00Z</dcterms:created>
  <dcterms:modified xsi:type="dcterms:W3CDTF">2025-02-17T11:28:00Z</dcterms:modified>
</cp:coreProperties>
</file>