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BA" w:rsidRDefault="001E04BA" w:rsidP="001E04B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:rsidR="001E04BA" w:rsidRDefault="001E04BA" w:rsidP="001E04BA">
      <w:pPr>
        <w:suppressAutoHyphens/>
        <w:jc w:val="right"/>
        <w:rPr>
          <w:rFonts w:eastAsia="Times New Roman"/>
          <w:lang w:eastAsia="ar-SA"/>
        </w:rPr>
      </w:pPr>
    </w:p>
    <w:p w:rsidR="001E04BA" w:rsidRPr="00CF1BEC" w:rsidRDefault="001E04BA" w:rsidP="001E04B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1E04BA" w:rsidRPr="00CF1BEC" w:rsidRDefault="001E04BA" w:rsidP="001E04BA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7</w:t>
      </w:r>
      <w:r>
        <w:rPr>
          <w:rFonts w:eastAsia="Times New Roman"/>
          <w:bCs/>
          <w:lang w:eastAsia="ar-SA"/>
        </w:rPr>
        <w:t>.martā</w:t>
      </w:r>
    </w:p>
    <w:p w:rsidR="001E04BA" w:rsidRDefault="001E04BA" w:rsidP="001E04BA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DISVS2020/1</w:t>
      </w:r>
      <w:r>
        <w:rPr>
          <w:rFonts w:eastAsia="Times New Roman"/>
          <w:bCs/>
          <w:lang w:eastAsia="ar-SA"/>
        </w:rPr>
        <w:t>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1E04BA">
        <w:rPr>
          <w:rFonts w:eastAsia="Times New Roman"/>
          <w:b/>
          <w:bCs/>
          <w:lang w:eastAsia="en-US"/>
        </w:rPr>
        <w:t>Individuālo</w:t>
      </w:r>
      <w:r w:rsidR="004C78A5">
        <w:rPr>
          <w:rFonts w:eastAsia="Times New Roman"/>
          <w:b/>
          <w:bCs/>
          <w:lang w:eastAsia="en-US"/>
        </w:rPr>
        <w:t xml:space="preserve"> sporta</w:t>
      </w:r>
      <w:r w:rsidR="001E04BA">
        <w:rPr>
          <w:rFonts w:eastAsia="Times New Roman"/>
          <w:b/>
          <w:bCs/>
          <w:lang w:eastAsia="en-US"/>
        </w:rPr>
        <w:t xml:space="preserve">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FC0ADA">
        <w:rPr>
          <w:rFonts w:eastAsia="Times New Roman"/>
          <w:b/>
          <w:lang w:eastAsia="en-US"/>
        </w:rPr>
        <w:t>peldēšanas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1E04BA">
        <w:rPr>
          <w:rFonts w:eastAsia="Times New Roman"/>
          <w:b/>
          <w:lang w:eastAsia="en-US"/>
        </w:rPr>
        <w:t>iegādei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1E04BA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CF1BEC" w:rsidRDefault="001E04BA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CF1BEC" w:rsidRDefault="001E04BA" w:rsidP="008E5CF3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1E04BA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CF1BEC" w:rsidRDefault="001E04BA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CF1BEC" w:rsidRDefault="001E04BA" w:rsidP="008E5CF3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1E04BA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CF1BEC" w:rsidRDefault="001E04BA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BA" w:rsidRPr="001245BD" w:rsidRDefault="001E04BA" w:rsidP="008E5CF3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BA" w:rsidRDefault="001E04BA" w:rsidP="001E04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:rsidR="00A02666" w:rsidRPr="00CF1BEC" w:rsidRDefault="001E04BA" w:rsidP="001E04B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BA" w:rsidRDefault="009974C7" w:rsidP="00FC0AD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FC0ADA">
              <w:rPr>
                <w:rFonts w:eastAsia="Times New Roman"/>
                <w:lang w:eastAsia="en-US"/>
              </w:rPr>
              <w:t>Bojarovs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29</w:t>
            </w:r>
            <w:r w:rsidR="00FC0ADA">
              <w:rPr>
                <w:rFonts w:eastAsia="Times New Roman"/>
                <w:lang w:eastAsia="en-US"/>
              </w:rPr>
              <w:t>949326</w:t>
            </w:r>
            <w:r w:rsidR="00DE0361">
              <w:rPr>
                <w:rFonts w:eastAsia="Times New Roman"/>
                <w:lang w:eastAsia="en-US"/>
              </w:rPr>
              <w:t xml:space="preserve">, </w:t>
            </w:r>
          </w:p>
          <w:p w:rsidR="00DE0361" w:rsidRDefault="00DE0361" w:rsidP="00FC0AD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10" w:history="1">
              <w:r w:rsidR="001E04BA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1E04BA" w:rsidRPr="001E04BA">
        <w:rPr>
          <w:rFonts w:eastAsia="Times New Roman"/>
          <w:bCs/>
          <w:lang w:eastAsia="en-US"/>
        </w:rPr>
        <w:t xml:space="preserve">Daugavpils Individuālo sporta veidu skolas </w:t>
      </w:r>
      <w:r w:rsidR="001E04BA" w:rsidRPr="001E04BA">
        <w:rPr>
          <w:rFonts w:eastAsia="Times New Roman"/>
          <w:lang w:eastAsia="en-US"/>
        </w:rPr>
        <w:t>peldēšanas nodaļai inventāra iegāde</w:t>
      </w:r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1E04BA">
        <w:rPr>
          <w:rFonts w:eastAsia="Times New Roman"/>
          <w:bCs/>
          <w:lang w:eastAsia="en-US"/>
        </w:rPr>
        <w:t>845</w:t>
      </w:r>
      <w:r w:rsidR="00A259CC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E04BA">
        <w:rPr>
          <w:rFonts w:eastAsia="Times New Roman"/>
          <w:bCs/>
          <w:lang w:eastAsia="en-US"/>
        </w:rPr>
        <w:t>2020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FC0ADA">
        <w:rPr>
          <w:rFonts w:eastAsia="Times New Roman"/>
          <w:bCs/>
          <w:lang w:eastAsia="en-US"/>
        </w:rPr>
        <w:t>3</w:t>
      </w:r>
      <w:r w:rsidR="001E04BA">
        <w:rPr>
          <w:rFonts w:eastAsia="Times New Roman"/>
          <w:bCs/>
          <w:lang w:eastAsia="en-US"/>
        </w:rPr>
        <w:t>0</w:t>
      </w:r>
      <w:r w:rsidR="00A259CC">
        <w:rPr>
          <w:rFonts w:eastAsia="Times New Roman"/>
          <w:bCs/>
          <w:lang w:eastAsia="en-US"/>
        </w:rPr>
        <w:t>.</w:t>
      </w:r>
      <w:r w:rsidR="001E04BA">
        <w:rPr>
          <w:rFonts w:eastAsia="Times New Roman"/>
          <w:bCs/>
          <w:lang w:eastAsia="en-US"/>
        </w:rPr>
        <w:t>septem</w:t>
      </w:r>
      <w:r w:rsidR="00D43B23">
        <w:rPr>
          <w:rFonts w:eastAsia="Times New Roman"/>
          <w:bCs/>
          <w:lang w:eastAsia="en-US"/>
        </w:rPr>
        <w:t>bri</w:t>
      </w:r>
      <w:r w:rsidR="00D86C0C">
        <w:rPr>
          <w:rFonts w:eastAsia="Times New Roman"/>
          <w:bCs/>
          <w:lang w:eastAsia="en-US"/>
        </w:rPr>
        <w:t>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84024C" w:rsidRDefault="001A0389" w:rsidP="00B102D2">
      <w:r>
        <w:t>5</w:t>
      </w:r>
      <w:r w:rsidR="0084024C">
        <w:t>.3. Pretendentam ir jābūt nodrošinātai mājas lapai, lai būtu iespēja iepazīties ar preču klāstu;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334204" w:rsidRDefault="00B102D2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 Preces tiks iepirktas pa daļām, saskaņā ar Pasūtītāja iepriekšēju pasūtījumu (rakstisku vai mutisku), līgumā noteiktajā kārtībā. </w:t>
      </w:r>
      <w:r w:rsidR="00D86C0C">
        <w:rPr>
          <w:rFonts w:eastAsia="Times New Roman"/>
          <w:bCs/>
          <w:lang w:eastAsia="en-US"/>
        </w:rPr>
        <w:t>Pasūtītājam nav pienākums nopirkt visas tehniskās specifikācijās noteiktās preces. Pasūtītās preces būs jāpiegādā uz piegādātāja rēķina.</w:t>
      </w:r>
    </w:p>
    <w:p w:rsidR="00997B65" w:rsidRDefault="00997B65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997B65" w:rsidRDefault="00997B65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Iesniegt paraugu, kuru pēc izskatīšanas mēs apņemamies atgriezt atpakaļ.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1E04BA">
        <w:rPr>
          <w:rFonts w:eastAsia="Times New Roman"/>
          <w:b/>
          <w:bCs/>
          <w:lang w:eastAsia="en-US"/>
        </w:rPr>
        <w:t>2020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1E04BA">
        <w:rPr>
          <w:rFonts w:eastAsia="Times New Roman"/>
          <w:b/>
          <w:bCs/>
          <w:lang w:eastAsia="en-US"/>
        </w:rPr>
        <w:t>31</w:t>
      </w:r>
      <w:r w:rsidR="00A259CC">
        <w:rPr>
          <w:rFonts w:eastAsia="Times New Roman"/>
          <w:b/>
          <w:bCs/>
          <w:lang w:eastAsia="en-US"/>
        </w:rPr>
        <w:t>.</w:t>
      </w:r>
      <w:r w:rsidR="001E04BA">
        <w:rPr>
          <w:rFonts w:eastAsia="Times New Roman"/>
          <w:b/>
          <w:bCs/>
          <w:lang w:eastAsia="en-US"/>
        </w:rPr>
        <w:t>marta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1E04BA">
        <w:rPr>
          <w:rFonts w:eastAsia="Times New Roman"/>
          <w:b/>
          <w:bCs/>
          <w:lang w:eastAsia="en-US"/>
        </w:rPr>
        <w:t>2:</w:t>
      </w:r>
      <w:r w:rsidR="004D24FD" w:rsidRPr="00EA5AA3">
        <w:rPr>
          <w:rFonts w:eastAsia="Times New Roman"/>
          <w:b/>
          <w:bCs/>
          <w:lang w:eastAsia="en-US"/>
        </w:rPr>
        <w:t>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1E04BA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1E04BA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</w:t>
      </w:r>
    </w:p>
    <w:p w:rsidR="00BD4F83" w:rsidRDefault="00BD4F83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1E04BA" w:rsidRPr="001E04BA">
        <w:rPr>
          <w:rFonts w:eastAsia="Times New Roman"/>
          <w:bCs/>
          <w:lang w:eastAsia="en-US"/>
        </w:rPr>
        <w:t xml:space="preserve">Daugavpils Individuālo sporta veidu skolas </w:t>
      </w:r>
      <w:r w:rsidR="001E04BA" w:rsidRPr="001E04BA">
        <w:rPr>
          <w:rFonts w:eastAsia="Times New Roman"/>
          <w:lang w:eastAsia="en-US"/>
        </w:rPr>
        <w:t>peldēšanas nodaļai inventāra iegāde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1E04BA">
        <w:rPr>
          <w:rFonts w:eastAsia="Times New Roman"/>
          <w:bCs/>
          <w:lang w:eastAsia="en-US"/>
        </w:rPr>
        <w:t>2020</w:t>
      </w:r>
      <w:r w:rsidR="001E04BA" w:rsidRPr="00EA5AA3">
        <w:rPr>
          <w:rFonts w:eastAsia="Times New Roman"/>
          <w:bCs/>
          <w:lang w:eastAsia="en-US"/>
        </w:rPr>
        <w:t xml:space="preserve">.gada </w:t>
      </w:r>
      <w:r w:rsidR="001E04BA">
        <w:rPr>
          <w:rFonts w:eastAsia="Times New Roman"/>
          <w:bCs/>
          <w:lang w:eastAsia="en-US"/>
        </w:rPr>
        <w:t>30.septembris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387"/>
        <w:gridCol w:w="1496"/>
      </w:tblGrid>
      <w:tr w:rsidR="000C632C" w:rsidTr="001B01B9">
        <w:tc>
          <w:tcPr>
            <w:tcW w:w="675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410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38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96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1E04BA" w:rsidTr="001B01B9">
        <w:tc>
          <w:tcPr>
            <w:tcW w:w="675" w:type="dxa"/>
          </w:tcPr>
          <w:p w:rsidR="001E04BA" w:rsidRDefault="001E04BA" w:rsidP="00D94404">
            <w:r>
              <w:t>1.</w:t>
            </w:r>
          </w:p>
        </w:tc>
        <w:tc>
          <w:tcPr>
            <w:tcW w:w="2410" w:type="dxa"/>
          </w:tcPr>
          <w:p w:rsidR="001E04BA" w:rsidRDefault="001E04BA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Pludiņš</w:t>
            </w:r>
          </w:p>
          <w:p w:rsidR="001E04BA" w:rsidRPr="00344D43" w:rsidRDefault="001E04BA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E4C3E1D" wp14:editId="0DF7A38C">
                  <wp:extent cx="729465" cy="504824"/>
                  <wp:effectExtent l="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65" cy="504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E04BA" w:rsidRPr="00344D43" w:rsidRDefault="001E04BA" w:rsidP="008E5C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Pludiņš – palīglīdzeklis, kas neitralizē kāju darbu peldēšanā. Divkrāsains pludiņš izgatavots no viegla un izturīga EVA putu materiāla. Garums 23cm, platums 12cm</w:t>
            </w:r>
          </w:p>
        </w:tc>
        <w:tc>
          <w:tcPr>
            <w:tcW w:w="1496" w:type="dxa"/>
          </w:tcPr>
          <w:p w:rsidR="001E04BA" w:rsidRPr="00C20239" w:rsidRDefault="001E04BA" w:rsidP="001E04BA">
            <w:pPr>
              <w:jc w:val="center"/>
            </w:pPr>
            <w:r>
              <w:t xml:space="preserve"> 12 gab. </w:t>
            </w:r>
          </w:p>
        </w:tc>
      </w:tr>
      <w:tr w:rsidR="001E04BA" w:rsidTr="001B01B9">
        <w:tc>
          <w:tcPr>
            <w:tcW w:w="675" w:type="dxa"/>
          </w:tcPr>
          <w:p w:rsidR="001E04BA" w:rsidRDefault="001E04BA" w:rsidP="00D94404">
            <w:r>
              <w:t>2.</w:t>
            </w:r>
          </w:p>
        </w:tc>
        <w:tc>
          <w:tcPr>
            <w:tcW w:w="2410" w:type="dxa"/>
          </w:tcPr>
          <w:p w:rsidR="001E04BA" w:rsidRDefault="001E04BA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Roku lāpstiņas</w:t>
            </w:r>
          </w:p>
          <w:p w:rsidR="001E04BA" w:rsidRPr="00344D43" w:rsidRDefault="001E04BA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413EF6A" wp14:editId="7BD47951">
                  <wp:extent cx="685799" cy="511739"/>
                  <wp:effectExtent l="0" t="0" r="635" b="3175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99" cy="511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E04BA" w:rsidRDefault="001E04BA" w:rsidP="008E5C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Roku </w:t>
            </w:r>
            <w:r w:rsidRPr="00374F26">
              <w:rPr>
                <w:shd w:val="clear" w:color="auto" w:fill="FFFFFF"/>
              </w:rPr>
              <w:t xml:space="preserve">lāpstiņas ar ūdens plūsmas caurumiem, kas ļauj labāk izjust ūdeni. Izgatavotas no viegla polipropilēna materiāla ar silikona lāpstiņu gumijām. </w:t>
            </w:r>
          </w:p>
          <w:p w:rsidR="001E04BA" w:rsidRDefault="001E04BA" w:rsidP="008E5CF3">
            <w:pPr>
              <w:jc w:val="both"/>
              <w:rPr>
                <w:rFonts w:ascii="Arial" w:hAnsi="Arial" w:cs="Arial"/>
                <w:color w:val="555555"/>
                <w:sz w:val="23"/>
                <w:szCs w:val="23"/>
                <w:shd w:val="clear" w:color="auto" w:fill="FFFFFF"/>
              </w:rPr>
            </w:pPr>
            <w:r>
              <w:rPr>
                <w:shd w:val="clear" w:color="auto" w:fill="FFFFFF"/>
              </w:rPr>
              <w:t>Izmērs M</w:t>
            </w:r>
          </w:p>
          <w:p w:rsidR="001E04BA" w:rsidRPr="00344D43" w:rsidRDefault="001E04BA" w:rsidP="008E5CF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:rsidR="001E04BA" w:rsidRPr="00C20239" w:rsidRDefault="001E04BA" w:rsidP="008E5CF3">
            <w:pPr>
              <w:jc w:val="center"/>
            </w:pPr>
            <w:r>
              <w:t>12 pāri</w:t>
            </w:r>
          </w:p>
        </w:tc>
      </w:tr>
      <w:tr w:rsidR="001E04BA" w:rsidTr="001B01B9">
        <w:tc>
          <w:tcPr>
            <w:tcW w:w="675" w:type="dxa"/>
          </w:tcPr>
          <w:p w:rsidR="001E04BA" w:rsidRDefault="001B01B9" w:rsidP="00D94404">
            <w:r>
              <w:t>3.</w:t>
            </w:r>
          </w:p>
        </w:tc>
        <w:tc>
          <w:tcPr>
            <w:tcW w:w="2410" w:type="dxa"/>
          </w:tcPr>
          <w:p w:rsidR="001E04BA" w:rsidRDefault="001E04BA" w:rsidP="001E04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Roku lāpstiņas</w:t>
            </w:r>
          </w:p>
          <w:p w:rsidR="001E04BA" w:rsidRPr="00344D43" w:rsidRDefault="001E04BA" w:rsidP="0071129D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671C141" wp14:editId="250FA9BD">
                  <wp:extent cx="706995" cy="561975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371" cy="5638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B01B9" w:rsidRDefault="001B01B9" w:rsidP="001B01B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Roku </w:t>
            </w:r>
            <w:r w:rsidRPr="00374F26">
              <w:rPr>
                <w:shd w:val="clear" w:color="auto" w:fill="FFFFFF"/>
              </w:rPr>
              <w:t xml:space="preserve">lāpstiņas ar ūdens plūsmas caurumiem, kas ļauj labāk izjust ūdeni. Izgatavotas no viegla polipropilēna materiāla ar silikona lāpstiņu gumijām. </w:t>
            </w:r>
          </w:p>
          <w:p w:rsidR="001B01B9" w:rsidRDefault="001B01B9" w:rsidP="001B01B9">
            <w:pPr>
              <w:jc w:val="both"/>
              <w:rPr>
                <w:rFonts w:ascii="Arial" w:hAnsi="Arial" w:cs="Arial"/>
                <w:color w:val="555555"/>
                <w:sz w:val="23"/>
                <w:szCs w:val="23"/>
                <w:shd w:val="clear" w:color="auto" w:fill="FFFFFF"/>
              </w:rPr>
            </w:pPr>
            <w:r>
              <w:rPr>
                <w:shd w:val="clear" w:color="auto" w:fill="FFFFFF"/>
              </w:rPr>
              <w:t>Izmērs L</w:t>
            </w:r>
          </w:p>
          <w:p w:rsidR="001E04BA" w:rsidRPr="00344D43" w:rsidRDefault="001E04BA" w:rsidP="008C434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:rsidR="001E04BA" w:rsidRPr="00C20239" w:rsidRDefault="001B01B9" w:rsidP="0041758A">
            <w:pPr>
              <w:jc w:val="center"/>
            </w:pPr>
            <w:r>
              <w:t>12 pāri</w:t>
            </w:r>
          </w:p>
        </w:tc>
      </w:tr>
      <w:tr w:rsidR="001E04BA" w:rsidTr="001B01B9">
        <w:tc>
          <w:tcPr>
            <w:tcW w:w="675" w:type="dxa"/>
          </w:tcPr>
          <w:p w:rsidR="001E04BA" w:rsidRDefault="001E04BA" w:rsidP="00D94404"/>
        </w:tc>
        <w:tc>
          <w:tcPr>
            <w:tcW w:w="2410" w:type="dxa"/>
          </w:tcPr>
          <w:p w:rsidR="001E04BA" w:rsidRDefault="001B01B9" w:rsidP="0041758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1B01B9">
              <w:rPr>
                <w:shd w:val="clear" w:color="auto" w:fill="FFFFFF"/>
              </w:rPr>
              <w:t>tarta bloka konstrukcija</w:t>
            </w:r>
            <w:r>
              <w:rPr>
                <w:shd w:val="clear" w:color="auto" w:fill="FFFFFF"/>
              </w:rPr>
              <w:t xml:space="preserve"> peldēšanā</w:t>
            </w:r>
          </w:p>
          <w:p w:rsidR="001B01B9" w:rsidRDefault="001B01B9" w:rsidP="0041758A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35C93A2" wp14:editId="51988571">
                  <wp:extent cx="733425" cy="650491"/>
                  <wp:effectExtent l="0" t="0" r="0" b="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70" cy="655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B01B9" w:rsidRDefault="001B01B9" w:rsidP="0041758A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34426DA" wp14:editId="48935B20">
                  <wp:extent cx="1085850" cy="422781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11" cy="4237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B01B9" w:rsidRDefault="001B01B9" w:rsidP="0041758A">
            <w:pPr>
              <w:rPr>
                <w:shd w:val="clear" w:color="auto" w:fill="FFFFFF"/>
              </w:rPr>
            </w:pPr>
          </w:p>
          <w:p w:rsidR="001B01B9" w:rsidRPr="001B01B9" w:rsidRDefault="001B01B9" w:rsidP="0041758A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81BC3F9" wp14:editId="3C3A1022">
                  <wp:extent cx="1085850" cy="431071"/>
                  <wp:effectExtent l="0" t="0" r="0" b="762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64" cy="4317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1B01B9" w:rsidRPr="001B01B9" w:rsidRDefault="001B01B9" w:rsidP="001B01B9">
            <w:pPr>
              <w:spacing w:after="100" w:afterAutospacing="1"/>
              <w:rPr>
                <w:rFonts w:eastAsia="Times New Roman"/>
              </w:rPr>
            </w:pPr>
            <w:r w:rsidRPr="001B01B9">
              <w:rPr>
                <w:rFonts w:eastAsia="Times New Roman"/>
              </w:rPr>
              <w:t xml:space="preserve">FINIS </w:t>
            </w:r>
            <w:proofErr w:type="spellStart"/>
            <w:r w:rsidRPr="001B01B9">
              <w:rPr>
                <w:rFonts w:eastAsia="Times New Roman"/>
              </w:rPr>
              <w:t>Backstroke</w:t>
            </w:r>
            <w:proofErr w:type="spellEnd"/>
            <w:r w:rsidRPr="001B01B9">
              <w:rPr>
                <w:rFonts w:eastAsia="Times New Roman"/>
              </w:rPr>
              <w:t xml:space="preserve"> </w:t>
            </w:r>
            <w:proofErr w:type="spellStart"/>
            <w:r w:rsidRPr="001B01B9">
              <w:rPr>
                <w:rFonts w:eastAsia="Times New Roman"/>
              </w:rPr>
              <w:t>Start</w:t>
            </w:r>
            <w:proofErr w:type="spellEnd"/>
            <w:r w:rsidRPr="001B01B9">
              <w:rPr>
                <w:rFonts w:eastAsia="Times New Roman"/>
              </w:rPr>
              <w:t xml:space="preserve"> </w:t>
            </w:r>
            <w:proofErr w:type="spellStart"/>
            <w:r w:rsidRPr="001B01B9">
              <w:rPr>
                <w:rFonts w:eastAsia="Times New Roman"/>
              </w:rPr>
              <w:t>Wedge</w:t>
            </w:r>
            <w:proofErr w:type="spellEnd"/>
            <w:r w:rsidRPr="001B01B9">
              <w:rPr>
                <w:rFonts w:eastAsia="Times New Roman"/>
              </w:rPr>
              <w:t xml:space="preserve"> starta bloka konstrukcija. Atbilst FINA standartiem.</w:t>
            </w:r>
          </w:p>
          <w:p w:rsidR="001B01B9" w:rsidRPr="001B01B9" w:rsidRDefault="001B01B9" w:rsidP="001B01B9">
            <w:pPr>
              <w:spacing w:after="100" w:afterAutospacing="1"/>
              <w:rPr>
                <w:rFonts w:eastAsia="Times New Roman"/>
              </w:rPr>
            </w:pPr>
            <w:r w:rsidRPr="001B01B9">
              <w:rPr>
                <w:rFonts w:eastAsia="Times New Roman"/>
              </w:rPr>
              <w:t>Lētāka un pieejamāka starta konstrukcija. Iespējama uzstādīt uz lielākās daļas standarta starta blokiem. 5 dažādi uzstādījumi, kas ļaus konstrukciju pielāgot jebkuram sportistam. </w:t>
            </w:r>
          </w:p>
          <w:p w:rsidR="001E04BA" w:rsidRPr="00344D43" w:rsidRDefault="001E04BA" w:rsidP="0041758A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96" w:type="dxa"/>
          </w:tcPr>
          <w:p w:rsidR="001E04BA" w:rsidRPr="00C20239" w:rsidRDefault="001B01B9" w:rsidP="0041758A">
            <w:pPr>
              <w:jc w:val="center"/>
            </w:pPr>
            <w:r>
              <w:t>4 gab.</w:t>
            </w:r>
          </w:p>
        </w:tc>
      </w:tr>
    </w:tbl>
    <w:p w:rsidR="00C633AF" w:rsidRDefault="00C633AF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1B01B9">
        <w:t>Individuālo</w:t>
      </w:r>
      <w:r>
        <w:t xml:space="preserve"> sporta</w:t>
      </w:r>
      <w:r w:rsidR="001B01B9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1B01B9" w:rsidRDefault="001B01B9" w:rsidP="00D94404"/>
    <w:p w:rsidR="00344D43" w:rsidRDefault="00344D43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1B01B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1B01B9">
      <w:pPr>
        <w:suppressAutoHyphens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1B01B9">
        <w:rPr>
          <w:rFonts w:eastAsia="Times New Roman"/>
          <w:bCs/>
          <w:lang w:eastAsia="en-US"/>
        </w:rPr>
        <w:t xml:space="preserve">Individuālo </w:t>
      </w:r>
      <w:r w:rsidR="004C78A5">
        <w:rPr>
          <w:rFonts w:eastAsia="Times New Roman"/>
          <w:bCs/>
          <w:lang w:eastAsia="en-US"/>
        </w:rPr>
        <w:t>sporta</w:t>
      </w:r>
      <w:r w:rsidR="001B01B9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374F26">
        <w:rPr>
          <w:rFonts w:eastAsia="Times New Roman"/>
          <w:lang w:eastAsia="en-US"/>
        </w:rPr>
        <w:t>peldēšanas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36293C" w:rsidRPr="00F24611">
        <w:rPr>
          <w:rFonts w:eastAsia="Times New Roman"/>
          <w:lang w:eastAsia="en-US"/>
        </w:rPr>
        <w:t xml:space="preserve"> </w:t>
      </w:r>
      <w:r w:rsidR="008C4345">
        <w:rPr>
          <w:rFonts w:eastAsia="Times New Roman"/>
          <w:lang w:eastAsia="en-US"/>
        </w:rPr>
        <w:t>inventāru</w:t>
      </w:r>
      <w:r w:rsidR="009078AE" w:rsidRPr="009078AE">
        <w:rPr>
          <w:rFonts w:eastAsia="Times New Roman"/>
          <w:lang w:eastAsia="en-US"/>
        </w:rPr>
        <w:t xml:space="preserve"> </w:t>
      </w:r>
      <w:r w:rsidR="001B01B9">
        <w:rPr>
          <w:rFonts w:eastAsia="Times New Roman"/>
          <w:lang w:eastAsia="en-US"/>
        </w:rPr>
        <w:t>par šādu cenu: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1B01B9">
              <w:t>Individuālo</w:t>
            </w:r>
            <w:r>
              <w:t xml:space="preserve"> sporta</w:t>
            </w:r>
            <w:r w:rsidR="001B01B9">
              <w:t xml:space="preserve"> veidu</w:t>
            </w:r>
            <w:bookmarkStart w:id="2" w:name="_GoBack"/>
            <w:bookmarkEnd w:id="2"/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03"/>
        <w:gridCol w:w="2482"/>
        <w:gridCol w:w="4427"/>
        <w:gridCol w:w="1304"/>
        <w:gridCol w:w="1215"/>
      </w:tblGrid>
      <w:tr w:rsidR="00451A1F" w:rsidRPr="000B191D" w:rsidTr="001B01B9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4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bez PVN</w:t>
            </w:r>
          </w:p>
        </w:tc>
      </w:tr>
      <w:tr w:rsidR="00451A1F" w:rsidRPr="000B191D" w:rsidTr="001B01B9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1B01B9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01B9" w:rsidRPr="000B191D" w:rsidTr="001B01B9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Default="001B01B9" w:rsidP="00BA11E8">
            <w:r>
              <w:t>1.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Pludiņš</w:t>
            </w:r>
          </w:p>
          <w:p w:rsidR="001B01B9" w:rsidRPr="00344D43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07EBA97" wp14:editId="78C9183B">
                  <wp:extent cx="729465" cy="504824"/>
                  <wp:effectExtent l="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65" cy="504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Pr="00344D43" w:rsidRDefault="001B01B9" w:rsidP="008E5C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Pludiņš – palīglīdzeklis, kas neitralizē kāju darbu peldēšanā. Divkrāsains pludiņš izgatavots no viegla un izturīga EVA putu materiāla. Garums 23cm, platums 12cm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Pr="00C20239" w:rsidRDefault="001B01B9" w:rsidP="008E5CF3">
            <w:pPr>
              <w:jc w:val="center"/>
            </w:pPr>
            <w:r>
              <w:t xml:space="preserve"> 12 gab.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01B9" w:rsidRDefault="001B01B9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01B9" w:rsidRPr="000B191D" w:rsidTr="001B01B9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Default="001B01B9" w:rsidP="00BA11E8">
            <w:r>
              <w:t>2.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Roku lāpstiņas</w:t>
            </w:r>
          </w:p>
          <w:p w:rsidR="001B01B9" w:rsidRPr="00344D43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ABA00CB" wp14:editId="6CBD29EF">
                  <wp:extent cx="685799" cy="511739"/>
                  <wp:effectExtent l="0" t="0" r="635" b="3175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99" cy="511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Roku </w:t>
            </w:r>
            <w:r w:rsidRPr="00374F26">
              <w:rPr>
                <w:shd w:val="clear" w:color="auto" w:fill="FFFFFF"/>
              </w:rPr>
              <w:t xml:space="preserve">lāpstiņas ar ūdens plūsmas caurumiem, kas ļauj labāk izjust ūdeni. Izgatavotas no viegla polipropilēna materiāla ar silikona lāpstiņu gumijām. </w:t>
            </w:r>
          </w:p>
          <w:p w:rsidR="001B01B9" w:rsidRPr="00344D43" w:rsidRDefault="001B01B9" w:rsidP="001B01B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Izmērs 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Pr="00C20239" w:rsidRDefault="001B01B9" w:rsidP="008E5CF3">
            <w:pPr>
              <w:jc w:val="center"/>
            </w:pPr>
            <w:r>
              <w:t>12 pāri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01B9" w:rsidRDefault="001B01B9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01B9" w:rsidRPr="000B191D" w:rsidTr="001B01B9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Default="001B01B9" w:rsidP="00BA11E8">
            <w:r>
              <w:t>3.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Roku lāpstiņas</w:t>
            </w:r>
          </w:p>
          <w:p w:rsidR="001B01B9" w:rsidRPr="00344D43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0C2EC2C" wp14:editId="20EAFD7F">
                  <wp:extent cx="706995" cy="561975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371" cy="56386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Roku </w:t>
            </w:r>
            <w:r w:rsidRPr="00374F26">
              <w:rPr>
                <w:shd w:val="clear" w:color="auto" w:fill="FFFFFF"/>
              </w:rPr>
              <w:t xml:space="preserve">lāpstiņas ar ūdens plūsmas caurumiem, kas ļauj labāk izjust ūdeni. Izgatavotas no viegla polipropilēna materiāla ar silikona lāpstiņu gumijām. </w:t>
            </w:r>
          </w:p>
          <w:p w:rsidR="001B01B9" w:rsidRPr="00344D43" w:rsidRDefault="001B01B9" w:rsidP="001B01B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Izmērs 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Pr="00C20239" w:rsidRDefault="001B01B9" w:rsidP="008E5CF3">
            <w:pPr>
              <w:jc w:val="center"/>
            </w:pPr>
            <w:r>
              <w:t>12 pāri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01B9" w:rsidRDefault="001B01B9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B01B9" w:rsidRPr="000B191D" w:rsidTr="001B01B9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Default="001B01B9" w:rsidP="00BA11E8">
            <w:r>
              <w:t>4.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</w:t>
            </w:r>
            <w:r w:rsidRPr="001B01B9">
              <w:rPr>
                <w:shd w:val="clear" w:color="auto" w:fill="FFFFFF"/>
              </w:rPr>
              <w:t>tarta bloka konstrukcija</w:t>
            </w:r>
            <w:r>
              <w:rPr>
                <w:shd w:val="clear" w:color="auto" w:fill="FFFFFF"/>
              </w:rPr>
              <w:t xml:space="preserve"> peldēšanā</w:t>
            </w:r>
          </w:p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22C7BC" wp14:editId="40555B07">
                  <wp:extent cx="733425" cy="650491"/>
                  <wp:effectExtent l="0" t="0" r="0" b="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70" cy="655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B01B9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591EC51" wp14:editId="6A23B1EB">
                  <wp:extent cx="1085850" cy="422781"/>
                  <wp:effectExtent l="0" t="0" r="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411" cy="4237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B01B9" w:rsidRDefault="001B01B9" w:rsidP="008E5CF3">
            <w:pPr>
              <w:rPr>
                <w:shd w:val="clear" w:color="auto" w:fill="FFFFFF"/>
              </w:rPr>
            </w:pPr>
          </w:p>
          <w:p w:rsidR="001B01B9" w:rsidRPr="001B01B9" w:rsidRDefault="001B01B9" w:rsidP="008E5CF3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66D840C" wp14:editId="626FADFA">
                  <wp:extent cx="1085850" cy="431071"/>
                  <wp:effectExtent l="0" t="0" r="0" b="762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64" cy="4317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1B9" w:rsidRPr="001B01B9" w:rsidRDefault="001B01B9" w:rsidP="008E5CF3">
            <w:pPr>
              <w:spacing w:after="100" w:afterAutospacing="1"/>
              <w:rPr>
                <w:rFonts w:eastAsia="Times New Roman"/>
              </w:rPr>
            </w:pPr>
            <w:r w:rsidRPr="001B01B9">
              <w:rPr>
                <w:rFonts w:eastAsia="Times New Roman"/>
              </w:rPr>
              <w:t xml:space="preserve">FINIS </w:t>
            </w:r>
            <w:proofErr w:type="spellStart"/>
            <w:r w:rsidRPr="001B01B9">
              <w:rPr>
                <w:rFonts w:eastAsia="Times New Roman"/>
              </w:rPr>
              <w:t>Backstroke</w:t>
            </w:r>
            <w:proofErr w:type="spellEnd"/>
            <w:r w:rsidRPr="001B01B9">
              <w:rPr>
                <w:rFonts w:eastAsia="Times New Roman"/>
              </w:rPr>
              <w:t xml:space="preserve"> </w:t>
            </w:r>
            <w:proofErr w:type="spellStart"/>
            <w:r w:rsidRPr="001B01B9">
              <w:rPr>
                <w:rFonts w:eastAsia="Times New Roman"/>
              </w:rPr>
              <w:t>Start</w:t>
            </w:r>
            <w:proofErr w:type="spellEnd"/>
            <w:r w:rsidRPr="001B01B9">
              <w:rPr>
                <w:rFonts w:eastAsia="Times New Roman"/>
              </w:rPr>
              <w:t xml:space="preserve"> </w:t>
            </w:r>
            <w:proofErr w:type="spellStart"/>
            <w:r w:rsidRPr="001B01B9">
              <w:rPr>
                <w:rFonts w:eastAsia="Times New Roman"/>
              </w:rPr>
              <w:t>Wedge</w:t>
            </w:r>
            <w:proofErr w:type="spellEnd"/>
            <w:r w:rsidRPr="001B01B9">
              <w:rPr>
                <w:rFonts w:eastAsia="Times New Roman"/>
              </w:rPr>
              <w:t xml:space="preserve"> starta bloka konstrukcija. Atbilst FINA standartiem.</w:t>
            </w:r>
          </w:p>
          <w:p w:rsidR="001B01B9" w:rsidRPr="001B01B9" w:rsidRDefault="001B01B9" w:rsidP="008E5CF3">
            <w:pPr>
              <w:spacing w:after="100" w:afterAutospacing="1"/>
              <w:rPr>
                <w:rFonts w:eastAsia="Times New Roman"/>
              </w:rPr>
            </w:pPr>
            <w:r w:rsidRPr="001B01B9">
              <w:rPr>
                <w:rFonts w:eastAsia="Times New Roman"/>
              </w:rPr>
              <w:t>Lētāka un pieejamāka starta konstrukcija. Iespējama uzstādīt uz lielākās daļas standarta starta blokiem. 5 dažādi uzstādījumi, kas ļaus konstrukciju pielāgot jebkuram sportistam. </w:t>
            </w:r>
          </w:p>
          <w:p w:rsidR="001B01B9" w:rsidRPr="00344D43" w:rsidRDefault="001B01B9" w:rsidP="008E5CF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1B9" w:rsidRPr="00C20239" w:rsidRDefault="001B01B9" w:rsidP="008E5CF3">
            <w:pPr>
              <w:jc w:val="center"/>
            </w:pPr>
            <w:r>
              <w:t>4 gab.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01B9" w:rsidRDefault="001B01B9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1B01B9">
        <w:trPr>
          <w:trHeight w:val="523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BB6F93" w:rsidRDefault="00BB6F93" w:rsidP="00BB6F93">
      <w:r>
        <w:lastRenderedPageBreak/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B01B9">
        <w:rPr>
          <w:b/>
        </w:rPr>
        <w:t>2020</w:t>
      </w:r>
      <w:r w:rsidR="00344D43">
        <w:rPr>
          <w:b/>
        </w:rPr>
        <w:t xml:space="preserve"> gada </w:t>
      </w:r>
      <w:r w:rsidR="00374F26">
        <w:rPr>
          <w:b/>
        </w:rPr>
        <w:t>3</w:t>
      </w:r>
      <w:r w:rsidR="001B01B9">
        <w:rPr>
          <w:b/>
        </w:rPr>
        <w:t>0</w:t>
      </w:r>
      <w:r w:rsidRPr="001378C2">
        <w:rPr>
          <w:b/>
        </w:rPr>
        <w:t>.</w:t>
      </w:r>
      <w:r w:rsidR="001B01B9">
        <w:rPr>
          <w:b/>
        </w:rPr>
        <w:t>septem</w:t>
      </w:r>
      <w:r w:rsidR="006503C9">
        <w:rPr>
          <w:b/>
        </w:rPr>
        <w:t>bri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9078AE" w:rsidRPr="00F2289F" w:rsidRDefault="009078AE" w:rsidP="009078AE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9078AE" w:rsidRDefault="009078AE" w:rsidP="009078AE"/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69" w:rsidRDefault="00B26569" w:rsidP="00B46840">
      <w:r>
        <w:separator/>
      </w:r>
    </w:p>
  </w:endnote>
  <w:endnote w:type="continuationSeparator" w:id="0">
    <w:p w:rsidR="00B26569" w:rsidRDefault="00B2656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69" w:rsidRDefault="00B26569" w:rsidP="00B46840">
      <w:r>
        <w:separator/>
      </w:r>
    </w:p>
  </w:footnote>
  <w:footnote w:type="continuationSeparator" w:id="0">
    <w:p w:rsidR="00B26569" w:rsidRDefault="00B2656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52057"/>
    <w:rsid w:val="00070920"/>
    <w:rsid w:val="000729D6"/>
    <w:rsid w:val="000A3350"/>
    <w:rsid w:val="000B0AE8"/>
    <w:rsid w:val="000B191D"/>
    <w:rsid w:val="000C632C"/>
    <w:rsid w:val="000D2717"/>
    <w:rsid w:val="000E066E"/>
    <w:rsid w:val="000F5930"/>
    <w:rsid w:val="00112826"/>
    <w:rsid w:val="00112B16"/>
    <w:rsid w:val="001143E1"/>
    <w:rsid w:val="00114463"/>
    <w:rsid w:val="00120274"/>
    <w:rsid w:val="00121F37"/>
    <w:rsid w:val="00166BFD"/>
    <w:rsid w:val="00174430"/>
    <w:rsid w:val="001A0389"/>
    <w:rsid w:val="001B01B9"/>
    <w:rsid w:val="001B609A"/>
    <w:rsid w:val="001D1451"/>
    <w:rsid w:val="001E04BA"/>
    <w:rsid w:val="001E1A56"/>
    <w:rsid w:val="00233F93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48A9"/>
    <w:rsid w:val="003D2D91"/>
    <w:rsid w:val="003E1B46"/>
    <w:rsid w:val="00401EFE"/>
    <w:rsid w:val="00412145"/>
    <w:rsid w:val="00436AE8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31F4A"/>
    <w:rsid w:val="00540E72"/>
    <w:rsid w:val="00546AFB"/>
    <w:rsid w:val="00596797"/>
    <w:rsid w:val="00636F05"/>
    <w:rsid w:val="006503C9"/>
    <w:rsid w:val="006526BA"/>
    <w:rsid w:val="006E216F"/>
    <w:rsid w:val="0070155E"/>
    <w:rsid w:val="00706737"/>
    <w:rsid w:val="00710309"/>
    <w:rsid w:val="00710EB0"/>
    <w:rsid w:val="0071129D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2163D"/>
    <w:rsid w:val="00940266"/>
    <w:rsid w:val="00945D34"/>
    <w:rsid w:val="00961330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A7C2F"/>
    <w:rsid w:val="00AB4DF3"/>
    <w:rsid w:val="00AC26BE"/>
    <w:rsid w:val="00AC30C7"/>
    <w:rsid w:val="00AD2F6C"/>
    <w:rsid w:val="00B102D2"/>
    <w:rsid w:val="00B146E9"/>
    <w:rsid w:val="00B26569"/>
    <w:rsid w:val="00B3022C"/>
    <w:rsid w:val="00B35CEE"/>
    <w:rsid w:val="00B4358F"/>
    <w:rsid w:val="00B46840"/>
    <w:rsid w:val="00B5550B"/>
    <w:rsid w:val="00B67253"/>
    <w:rsid w:val="00B86D8D"/>
    <w:rsid w:val="00B92AA4"/>
    <w:rsid w:val="00BB27DE"/>
    <w:rsid w:val="00BB6F93"/>
    <w:rsid w:val="00BC15D4"/>
    <w:rsid w:val="00BD2B8B"/>
    <w:rsid w:val="00BD4F83"/>
    <w:rsid w:val="00BD7991"/>
    <w:rsid w:val="00BE2DE2"/>
    <w:rsid w:val="00C41094"/>
    <w:rsid w:val="00C50DEA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D155D4"/>
    <w:rsid w:val="00D211C9"/>
    <w:rsid w:val="00D23CDB"/>
    <w:rsid w:val="00D43B23"/>
    <w:rsid w:val="00D6550A"/>
    <w:rsid w:val="00D662FF"/>
    <w:rsid w:val="00D67F01"/>
    <w:rsid w:val="00D86C0C"/>
    <w:rsid w:val="00D94404"/>
    <w:rsid w:val="00DD2C92"/>
    <w:rsid w:val="00DE0361"/>
    <w:rsid w:val="00DE27E7"/>
    <w:rsid w:val="00DE5E68"/>
    <w:rsid w:val="00E020F2"/>
    <w:rsid w:val="00E0337E"/>
    <w:rsid w:val="00E833EB"/>
    <w:rsid w:val="00EA5AA3"/>
    <w:rsid w:val="00EC3C9A"/>
    <w:rsid w:val="00EC4EF5"/>
    <w:rsid w:val="00EC4F57"/>
    <w:rsid w:val="00F24611"/>
    <w:rsid w:val="00F3046A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disvs@daugavpils.l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0123-3E45-4B9A-9278-84CFB6FB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3707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24</cp:revision>
  <cp:lastPrinted>2017-10-17T09:46:00Z</cp:lastPrinted>
  <dcterms:created xsi:type="dcterms:W3CDTF">2016-03-16T09:11:00Z</dcterms:created>
  <dcterms:modified xsi:type="dcterms:W3CDTF">2020-03-27T11:24:00Z</dcterms:modified>
</cp:coreProperties>
</file>