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60" w:rsidRPr="00303B3D" w:rsidRDefault="00DF7060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caps/>
          <w:sz w:val="24"/>
          <w:szCs w:val="24"/>
          <w:lang w:eastAsia="ar-SA"/>
        </w:rPr>
        <w:t>apstiprinĀts</w:t>
      </w:r>
      <w:r w:rsidRPr="00303B3D">
        <w:rPr>
          <w:rFonts w:eastAsia="Times New Roman"/>
          <w:caps/>
          <w:sz w:val="24"/>
          <w:szCs w:val="24"/>
          <w:lang w:eastAsia="ar-SA"/>
        </w:rPr>
        <w:br/>
      </w:r>
      <w:r w:rsidRPr="00303B3D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DF7060" w:rsidRPr="00303B3D" w:rsidRDefault="00DF7060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“Sporta pārvalde” vadītājs</w:t>
      </w:r>
    </w:p>
    <w:p w:rsidR="00DF7060" w:rsidRPr="00303B3D" w:rsidRDefault="00DF7060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_________________</w:t>
      </w:r>
      <w:proofErr w:type="spellStart"/>
      <w:r w:rsidRPr="00303B3D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966A5E" w:rsidRPr="00966A5E" w:rsidRDefault="001E67C4" w:rsidP="00966A5E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>
        <w:rPr>
          <w:rFonts w:eastAsia="Times New Roman"/>
          <w:bCs/>
          <w:sz w:val="24"/>
          <w:szCs w:val="24"/>
          <w:lang w:eastAsia="ar-SA"/>
        </w:rPr>
        <w:t>2019</w:t>
      </w:r>
      <w:r w:rsidR="00DF7060" w:rsidRPr="00303B3D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="00DF7060" w:rsidRPr="00303B3D">
        <w:rPr>
          <w:rFonts w:eastAsia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/>
          <w:bCs/>
          <w:sz w:val="24"/>
          <w:szCs w:val="24"/>
          <w:lang w:eastAsia="ar-SA"/>
        </w:rPr>
        <w:t>6</w:t>
      </w:r>
      <w:r w:rsidR="00DF7060" w:rsidRPr="00303B3D">
        <w:rPr>
          <w:rFonts w:eastAsia="Times New Roman"/>
          <w:bCs/>
          <w:sz w:val="24"/>
          <w:szCs w:val="24"/>
          <w:lang w:eastAsia="ar-SA"/>
        </w:rPr>
        <w:t>.</w:t>
      </w:r>
      <w:r>
        <w:rPr>
          <w:rFonts w:eastAsia="Times New Roman"/>
          <w:bCs/>
          <w:sz w:val="24"/>
          <w:szCs w:val="24"/>
          <w:lang w:eastAsia="ar-SA"/>
        </w:rPr>
        <w:t>martā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AD649A" w:rsidRPr="004C5EBE" w:rsidRDefault="00425753" w:rsidP="004C5EBE">
      <w:pPr>
        <w:jc w:val="center"/>
        <w:rPr>
          <w:rFonts w:eastAsia="Times New Roman"/>
          <w:b/>
          <w:bCs/>
          <w:sz w:val="24"/>
          <w:szCs w:val="24"/>
        </w:rPr>
      </w:pPr>
      <w:r w:rsidRPr="00303B3D">
        <w:rPr>
          <w:b/>
          <w:color w:val="000000"/>
          <w:sz w:val="24"/>
          <w:szCs w:val="24"/>
        </w:rPr>
        <w:t xml:space="preserve"> </w:t>
      </w:r>
      <w:r w:rsidR="00DF7060" w:rsidRPr="00303B3D">
        <w:rPr>
          <w:b/>
          <w:color w:val="000000"/>
          <w:sz w:val="24"/>
          <w:szCs w:val="24"/>
        </w:rPr>
        <w:t>“</w:t>
      </w:r>
      <w:r w:rsidR="0098423C" w:rsidRPr="0098423C">
        <w:rPr>
          <w:b/>
          <w:sz w:val="24"/>
          <w:szCs w:val="24"/>
          <w:lang w:eastAsia="ru-RU"/>
        </w:rPr>
        <w:t xml:space="preserve">25m šautuves sektora ķieģeļu mūra </w:t>
      </w:r>
      <w:proofErr w:type="spellStart"/>
      <w:r w:rsidR="0098423C" w:rsidRPr="0098423C">
        <w:rPr>
          <w:b/>
          <w:sz w:val="24"/>
          <w:szCs w:val="24"/>
          <w:lang w:eastAsia="ru-RU"/>
        </w:rPr>
        <w:t>pašnesošās</w:t>
      </w:r>
      <w:proofErr w:type="spellEnd"/>
      <w:r w:rsidR="0098423C" w:rsidRPr="0098423C">
        <w:rPr>
          <w:b/>
          <w:sz w:val="24"/>
          <w:szCs w:val="24"/>
          <w:lang w:eastAsia="ru-RU"/>
        </w:rPr>
        <w:t xml:space="preserve"> sienas atjaunošana</w:t>
      </w:r>
      <w:r w:rsidR="001E67C4">
        <w:rPr>
          <w:b/>
          <w:sz w:val="24"/>
          <w:szCs w:val="24"/>
          <w:lang w:eastAsia="ru-RU"/>
        </w:rPr>
        <w:t xml:space="preserve"> Raiņa ielā 29, Daugavpilī</w:t>
      </w:r>
      <w:r w:rsidR="00DF7060" w:rsidRPr="00303B3D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34147D">
      <w:pPr>
        <w:keepNext/>
        <w:numPr>
          <w:ilvl w:val="0"/>
          <w:numId w:val="2"/>
        </w:numPr>
        <w:tabs>
          <w:tab w:val="num" w:pos="284"/>
        </w:tabs>
        <w:suppressAutoHyphens/>
        <w:ind w:left="357" w:hanging="357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4515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4515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4515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4515D1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r w:rsidRPr="00303B3D">
              <w:rPr>
                <w:sz w:val="24"/>
                <w:szCs w:val="24"/>
              </w:rPr>
              <w:t xml:space="preserve"> ēku ekspluatācijas inženieris Ēriks Pavlovskis</w:t>
            </w:r>
          </w:p>
        </w:tc>
      </w:tr>
      <w:tr w:rsidR="00DF7060" w:rsidRPr="00303B3D" w:rsidTr="004515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Ēriks Pavlovskis mob.26800045</w:t>
            </w: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7" w:history="1">
              <w:r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4515D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</w:tr>
      <w:tr w:rsidR="00DF7060" w:rsidRPr="00303B3D" w:rsidTr="004515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4515D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303B3D" w:rsidRDefault="00DF7060" w:rsidP="0034147D">
      <w:pPr>
        <w:suppressAutoHyphens/>
        <w:rPr>
          <w:b/>
          <w:bCs/>
          <w:color w:val="000000"/>
          <w:sz w:val="24"/>
          <w:szCs w:val="24"/>
        </w:rPr>
      </w:pPr>
      <w:r w:rsidRPr="00303B3D">
        <w:rPr>
          <w:rFonts w:eastAsia="Times New Roman"/>
          <w:bCs/>
          <w:sz w:val="24"/>
          <w:szCs w:val="24"/>
        </w:rPr>
        <w:t>1.</w:t>
      </w:r>
      <w:r w:rsidRPr="00303B3D">
        <w:rPr>
          <w:b/>
          <w:bCs/>
          <w:color w:val="000000"/>
          <w:sz w:val="24"/>
          <w:szCs w:val="24"/>
        </w:rPr>
        <w:t xml:space="preserve"> Iepirkuma identifikācijas Nr.</w:t>
      </w:r>
      <w:r w:rsidR="0098423C">
        <w:rPr>
          <w:b/>
          <w:i/>
          <w:sz w:val="24"/>
          <w:szCs w:val="24"/>
        </w:rPr>
        <w:t xml:space="preserve"> DPPISP_201</w:t>
      </w:r>
      <w:r w:rsidR="001E67C4">
        <w:rPr>
          <w:b/>
          <w:i/>
          <w:sz w:val="24"/>
          <w:szCs w:val="24"/>
        </w:rPr>
        <w:t>9_17</w:t>
      </w:r>
      <w:r w:rsidRPr="00303B3D">
        <w:rPr>
          <w:b/>
          <w:i/>
          <w:sz w:val="24"/>
          <w:szCs w:val="24"/>
        </w:rPr>
        <w:t>N</w:t>
      </w:r>
      <w:r w:rsidRPr="00303B3D">
        <w:rPr>
          <w:b/>
          <w:bCs/>
          <w:color w:val="000000"/>
          <w:sz w:val="24"/>
          <w:szCs w:val="24"/>
        </w:rPr>
        <w:t>.</w:t>
      </w:r>
    </w:p>
    <w:p w:rsidR="00DF7060" w:rsidRPr="001E67C4" w:rsidRDefault="00DF7060" w:rsidP="001E67C4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2.Iepirkuma priekšmets: </w:t>
      </w:r>
      <w:r w:rsidR="0098423C" w:rsidRPr="0098423C">
        <w:rPr>
          <w:color w:val="000000"/>
          <w:sz w:val="24"/>
          <w:szCs w:val="24"/>
        </w:rPr>
        <w:t>“</w:t>
      </w:r>
      <w:r w:rsidR="0098423C" w:rsidRPr="0098423C">
        <w:rPr>
          <w:sz w:val="24"/>
          <w:szCs w:val="24"/>
          <w:lang w:eastAsia="ru-RU"/>
        </w:rPr>
        <w:t xml:space="preserve">25m šautuves sektora ķieģeļu mūra </w:t>
      </w:r>
      <w:proofErr w:type="spellStart"/>
      <w:r w:rsidR="0098423C" w:rsidRPr="0098423C">
        <w:rPr>
          <w:sz w:val="24"/>
          <w:szCs w:val="24"/>
          <w:lang w:eastAsia="ru-RU"/>
        </w:rPr>
        <w:t>pašnesošās</w:t>
      </w:r>
      <w:proofErr w:type="spellEnd"/>
      <w:r w:rsidR="0098423C" w:rsidRPr="0098423C">
        <w:rPr>
          <w:sz w:val="24"/>
          <w:szCs w:val="24"/>
          <w:lang w:eastAsia="ru-RU"/>
        </w:rPr>
        <w:t xml:space="preserve"> sienas atjaunošana</w:t>
      </w:r>
      <w:r w:rsidR="001E67C4">
        <w:rPr>
          <w:sz w:val="24"/>
          <w:szCs w:val="24"/>
          <w:lang w:eastAsia="ru-RU"/>
        </w:rPr>
        <w:t xml:space="preserve"> pēc adreses Raiņa ielā 29, Daugavpilī</w:t>
      </w:r>
      <w:r w:rsidR="0098423C" w:rsidRPr="0098423C">
        <w:rPr>
          <w:rFonts w:eastAsia="Times New Roman"/>
          <w:bCs/>
          <w:sz w:val="24"/>
          <w:szCs w:val="24"/>
        </w:rPr>
        <w:t>”</w:t>
      </w:r>
    </w:p>
    <w:p w:rsidR="00DF7060" w:rsidRPr="00303B3D" w:rsidRDefault="00E601E9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>3</w:t>
      </w:r>
      <w:r w:rsidR="00DF7060" w:rsidRPr="00303B3D">
        <w:rPr>
          <w:rFonts w:eastAsia="Times New Roman"/>
          <w:b/>
          <w:bCs/>
          <w:sz w:val="24"/>
          <w:szCs w:val="24"/>
        </w:rPr>
        <w:t xml:space="preserve">. Līguma izpildes termiņš: </w:t>
      </w:r>
      <w:r w:rsidR="000C343F">
        <w:rPr>
          <w:rFonts w:eastAsia="Times New Roman"/>
          <w:bCs/>
          <w:sz w:val="24"/>
          <w:szCs w:val="24"/>
        </w:rPr>
        <w:t>45</w:t>
      </w:r>
      <w:r w:rsidR="00DF7060" w:rsidRPr="00303B3D">
        <w:rPr>
          <w:rFonts w:eastAsia="Times New Roman"/>
          <w:bCs/>
          <w:sz w:val="24"/>
          <w:szCs w:val="24"/>
        </w:rPr>
        <w:t xml:space="preserve"> dienas pēc līguma noslēgšanas</w:t>
      </w:r>
    </w:p>
    <w:p w:rsidR="00DF7060" w:rsidRPr="00303B3D" w:rsidRDefault="00E601E9" w:rsidP="0034147D">
      <w:pPr>
        <w:suppressAutoHyphens/>
        <w:jc w:val="both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>4</w:t>
      </w:r>
      <w:r w:rsidR="00DF7060" w:rsidRPr="00303B3D">
        <w:rPr>
          <w:rFonts w:eastAsia="Times New Roman"/>
          <w:b/>
          <w:bCs/>
          <w:sz w:val="24"/>
          <w:szCs w:val="24"/>
        </w:rPr>
        <w:t>. Nosacījumi pretendenta dalībai aptaujā</w:t>
      </w:r>
    </w:p>
    <w:p w:rsidR="00DF7060" w:rsidRPr="00303B3D" w:rsidRDefault="00E601E9" w:rsidP="0034147D">
      <w:pPr>
        <w:rPr>
          <w:sz w:val="24"/>
          <w:szCs w:val="24"/>
        </w:rPr>
      </w:pPr>
      <w:r w:rsidRPr="00303B3D">
        <w:rPr>
          <w:sz w:val="24"/>
          <w:szCs w:val="24"/>
        </w:rPr>
        <w:t>4</w:t>
      </w:r>
      <w:r w:rsidR="00DF7060" w:rsidRPr="00303B3D">
        <w:rPr>
          <w:sz w:val="24"/>
          <w:szCs w:val="24"/>
        </w:rPr>
        <w:t>.1. Pretendents ir reģistrēts Latvijas Republikas Uzņēmumu reģistrā vai līdzvērtīgā reģistrā ārvalstīs;</w:t>
      </w:r>
    </w:p>
    <w:p w:rsidR="00DF7060" w:rsidRPr="00303B3D" w:rsidRDefault="00E601E9" w:rsidP="0034147D">
      <w:pPr>
        <w:rPr>
          <w:sz w:val="24"/>
          <w:szCs w:val="24"/>
        </w:rPr>
      </w:pPr>
      <w:r w:rsidRPr="00303B3D">
        <w:rPr>
          <w:sz w:val="24"/>
          <w:szCs w:val="24"/>
        </w:rPr>
        <w:t>4</w:t>
      </w:r>
      <w:r w:rsidR="00DF7060" w:rsidRPr="00303B3D">
        <w:rPr>
          <w:sz w:val="24"/>
          <w:szCs w:val="24"/>
        </w:rPr>
        <w:t>.2. Pretendentam ir pieredze tehniskajā specifikācijā minētā pakalpojuma sniegšanā;</w:t>
      </w:r>
    </w:p>
    <w:p w:rsidR="00DF7060" w:rsidRDefault="00E601E9" w:rsidP="000C343F">
      <w:pPr>
        <w:rPr>
          <w:rFonts w:eastAsia="Times New Roman"/>
          <w:bCs/>
          <w:sz w:val="24"/>
          <w:szCs w:val="24"/>
        </w:rPr>
      </w:pPr>
      <w:r w:rsidRPr="00303B3D">
        <w:rPr>
          <w:rFonts w:eastAsia="Times New Roman"/>
          <w:bCs/>
          <w:sz w:val="24"/>
          <w:szCs w:val="24"/>
        </w:rPr>
        <w:t>4.3</w:t>
      </w:r>
      <w:r w:rsidR="00DF7060" w:rsidRPr="00303B3D">
        <w:rPr>
          <w:rFonts w:eastAsia="Times New Roman"/>
          <w:bCs/>
          <w:sz w:val="24"/>
          <w:szCs w:val="24"/>
        </w:rPr>
        <w:t xml:space="preserve">. Precīzs Darba apraksts ir noteikts </w:t>
      </w:r>
      <w:r w:rsidR="0084157E" w:rsidRPr="0084157E">
        <w:rPr>
          <w:bCs/>
          <w:sz w:val="24"/>
          <w:szCs w:val="24"/>
        </w:rPr>
        <w:t>Projektēšanas uzdevumā</w:t>
      </w:r>
      <w:r w:rsidR="0084157E">
        <w:rPr>
          <w:b/>
          <w:bCs/>
          <w:sz w:val="24"/>
          <w:szCs w:val="24"/>
        </w:rPr>
        <w:t xml:space="preserve"> </w:t>
      </w:r>
      <w:r w:rsidR="00DF7060" w:rsidRPr="00303B3D">
        <w:rPr>
          <w:rFonts w:eastAsia="Times New Roman"/>
          <w:sz w:val="24"/>
          <w:szCs w:val="24"/>
        </w:rPr>
        <w:t>(pielikums Nr.1)</w:t>
      </w:r>
      <w:r w:rsidR="00DF7060" w:rsidRPr="00303B3D">
        <w:rPr>
          <w:rFonts w:eastAsia="Times New Roman"/>
          <w:bCs/>
          <w:sz w:val="24"/>
          <w:szCs w:val="24"/>
        </w:rPr>
        <w:t xml:space="preserve">. </w:t>
      </w:r>
    </w:p>
    <w:p w:rsidR="000C343F" w:rsidRPr="009632FE" w:rsidRDefault="00966A5E" w:rsidP="000C343F">
      <w:pPr>
        <w:suppressAutoHyphens/>
        <w:rPr>
          <w:rFonts w:eastAsia="Times New Roman"/>
          <w:b/>
          <w:sz w:val="24"/>
          <w:szCs w:val="24"/>
        </w:rPr>
      </w:pPr>
      <w:r w:rsidRPr="00966A5E">
        <w:rPr>
          <w:b/>
          <w:bCs/>
          <w:sz w:val="24"/>
          <w:szCs w:val="24"/>
        </w:rPr>
        <w:t>5.Paredzamā līgumcena:</w:t>
      </w:r>
      <w:r w:rsidR="000C343F">
        <w:rPr>
          <w:bCs/>
          <w:sz w:val="24"/>
          <w:szCs w:val="24"/>
        </w:rPr>
        <w:t xml:space="preserve"> līdz 6654</w:t>
      </w:r>
      <w:r w:rsidRPr="00966A5E">
        <w:rPr>
          <w:bCs/>
          <w:sz w:val="24"/>
          <w:szCs w:val="24"/>
        </w:rPr>
        <w:t>.00</w:t>
      </w:r>
      <w:r w:rsidRPr="00966A5E">
        <w:rPr>
          <w:b/>
          <w:bCs/>
          <w:sz w:val="24"/>
          <w:szCs w:val="24"/>
        </w:rPr>
        <w:t xml:space="preserve"> </w:t>
      </w:r>
      <w:proofErr w:type="spellStart"/>
      <w:r w:rsidRPr="00966A5E">
        <w:rPr>
          <w:bCs/>
          <w:i/>
          <w:sz w:val="24"/>
          <w:szCs w:val="24"/>
        </w:rPr>
        <w:t>euro</w:t>
      </w:r>
      <w:proofErr w:type="spellEnd"/>
      <w:r w:rsidRPr="00966A5E">
        <w:rPr>
          <w:bCs/>
          <w:sz w:val="24"/>
          <w:szCs w:val="24"/>
        </w:rPr>
        <w:t xml:space="preserve"> bez PVN.</w:t>
      </w:r>
      <w:r w:rsidRPr="00966A5E">
        <w:rPr>
          <w:b/>
          <w:bCs/>
          <w:sz w:val="24"/>
          <w:szCs w:val="24"/>
        </w:rPr>
        <w:br/>
      </w:r>
      <w:r w:rsidR="000C343F">
        <w:rPr>
          <w:rFonts w:eastAsia="Times New Roman"/>
          <w:b/>
          <w:bCs/>
          <w:sz w:val="24"/>
          <w:szCs w:val="24"/>
        </w:rPr>
        <w:t>6</w:t>
      </w:r>
      <w:r w:rsidR="000C343F" w:rsidRPr="009632FE">
        <w:rPr>
          <w:rFonts w:eastAsia="Times New Roman"/>
          <w:b/>
          <w:bCs/>
          <w:sz w:val="24"/>
          <w:szCs w:val="24"/>
        </w:rPr>
        <w:t>.</w:t>
      </w:r>
      <w:r w:rsidR="000C343F" w:rsidRPr="009632FE">
        <w:rPr>
          <w:rFonts w:eastAsia="Times New Roman"/>
          <w:b/>
          <w:sz w:val="24"/>
          <w:szCs w:val="24"/>
        </w:rPr>
        <w:t>Pretendentu iesniedzamie dokumenti dalībai aptaujā</w:t>
      </w:r>
    </w:p>
    <w:p w:rsidR="000C343F" w:rsidRDefault="000C343F" w:rsidP="000C343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6</w:t>
      </w:r>
      <w:r w:rsidRPr="009632FE">
        <w:rPr>
          <w:sz w:val="24"/>
          <w:szCs w:val="24"/>
        </w:rPr>
        <w:t>.1. Pretendents sastādīts finanšu/tehniskais piedāvājums (2.pielikums)</w:t>
      </w:r>
    </w:p>
    <w:p w:rsidR="000C343F" w:rsidRDefault="000C343F" w:rsidP="000C343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06BA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z w:val="24"/>
          <w:szCs w:val="24"/>
        </w:rPr>
        <w:t>.2</w:t>
      </w:r>
      <w:proofErr w:type="gramStart"/>
      <w:r w:rsidRPr="00206BA5">
        <w:rPr>
          <w:sz w:val="24"/>
          <w:szCs w:val="24"/>
        </w:rPr>
        <w:t xml:space="preserve">  </w:t>
      </w:r>
      <w:proofErr w:type="gramEnd"/>
      <w:r w:rsidRPr="00206BA5">
        <w:rPr>
          <w:sz w:val="24"/>
          <w:szCs w:val="24"/>
        </w:rPr>
        <w:t xml:space="preserve">Profesionālās apdrošināšanas polises, atbilstoši obligāto apdrošināšanu” </w:t>
      </w:r>
      <w:proofErr w:type="spellStart"/>
      <w:r w:rsidRPr="00206BA5">
        <w:rPr>
          <w:sz w:val="24"/>
          <w:szCs w:val="24"/>
        </w:rPr>
        <w:t>prasībām.Būvniecības</w:t>
      </w:r>
      <w:proofErr w:type="spellEnd"/>
      <w:r w:rsidRPr="00206BA5">
        <w:rPr>
          <w:sz w:val="24"/>
          <w:szCs w:val="24"/>
        </w:rPr>
        <w:t xml:space="preserve"> likuma 13.10.punktam un MK noteikumu Nr.502 „Noteikumi par </w:t>
      </w:r>
      <w:proofErr w:type="spellStart"/>
      <w:r w:rsidRPr="00206BA5">
        <w:rPr>
          <w:sz w:val="24"/>
          <w:szCs w:val="24"/>
        </w:rPr>
        <w:t>būvspeciālistu</w:t>
      </w:r>
      <w:proofErr w:type="spellEnd"/>
      <w:r w:rsidRPr="00206BA5">
        <w:rPr>
          <w:sz w:val="24"/>
          <w:szCs w:val="24"/>
        </w:rPr>
        <w:t xml:space="preserve"> un būvdarbu veicēju civiltiesiskās atbildības”.</w:t>
      </w:r>
    </w:p>
    <w:p w:rsidR="00DF7060" w:rsidRPr="000C343F" w:rsidRDefault="000C343F" w:rsidP="000C343F">
      <w:pPr>
        <w:rPr>
          <w:sz w:val="24"/>
          <w:szCs w:val="24"/>
        </w:rPr>
      </w:pPr>
      <w:r>
        <w:rPr>
          <w:sz w:val="24"/>
          <w:szCs w:val="24"/>
        </w:rPr>
        <w:t xml:space="preserve">   6</w:t>
      </w:r>
      <w:r>
        <w:rPr>
          <w:sz w:val="24"/>
          <w:szCs w:val="24"/>
        </w:rPr>
        <w:t>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Būvprakses sertifikāts: ēku būvdarbu vadīšana.</w:t>
      </w:r>
      <w:r w:rsidR="00966A5E">
        <w:rPr>
          <w:b/>
          <w:bCs/>
        </w:rPr>
        <w:br/>
      </w:r>
      <w:r w:rsidR="00966A5E">
        <w:rPr>
          <w:rFonts w:eastAsia="Times New Roman"/>
          <w:b/>
          <w:bCs/>
          <w:sz w:val="24"/>
          <w:szCs w:val="24"/>
        </w:rPr>
        <w:t>7</w:t>
      </w:r>
      <w:r w:rsidR="00DF7060" w:rsidRPr="00303B3D">
        <w:rPr>
          <w:rFonts w:eastAsia="Times New Roman"/>
          <w:b/>
          <w:bCs/>
          <w:sz w:val="24"/>
          <w:szCs w:val="24"/>
        </w:rPr>
        <w:t xml:space="preserve">.Piedāvājuma izvēles kritērijs: </w:t>
      </w:r>
      <w:r w:rsidR="00DF7060" w:rsidRPr="00303B3D">
        <w:rPr>
          <w:rFonts w:eastAsia="Times New Roman"/>
          <w:bCs/>
          <w:sz w:val="24"/>
          <w:szCs w:val="24"/>
        </w:rPr>
        <w:t>piedāvājums ar viszemāko cenu, kas pilnībā atbilst prasībām;</w:t>
      </w:r>
      <w:r w:rsidR="00966A5E">
        <w:rPr>
          <w:b/>
          <w:bCs/>
        </w:rPr>
        <w:br/>
      </w:r>
      <w:r w:rsidR="00966A5E">
        <w:rPr>
          <w:rFonts w:eastAsia="Times New Roman"/>
          <w:b/>
          <w:bCs/>
          <w:sz w:val="24"/>
          <w:szCs w:val="24"/>
        </w:rPr>
        <w:t>8</w:t>
      </w:r>
      <w:r w:rsidR="00DF7060" w:rsidRPr="00303B3D">
        <w:rPr>
          <w:rFonts w:eastAsia="Times New Roman"/>
          <w:b/>
          <w:bCs/>
          <w:sz w:val="24"/>
          <w:szCs w:val="24"/>
        </w:rPr>
        <w:t>.</w:t>
      </w:r>
      <w:r w:rsidR="00DF7060" w:rsidRPr="00303B3D">
        <w:rPr>
          <w:rFonts w:eastAsia="Times New Roman"/>
          <w:bCs/>
          <w:sz w:val="24"/>
          <w:szCs w:val="24"/>
        </w:rPr>
        <w:t>Piedāvājums iesniedzams</w:t>
      </w:r>
      <w:r w:rsidR="00BF2641">
        <w:rPr>
          <w:rFonts w:eastAsia="Times New Roman"/>
          <w:b/>
          <w:bCs/>
          <w:sz w:val="24"/>
          <w:szCs w:val="24"/>
        </w:rPr>
        <w:t>: līdz 2019. gada 12</w:t>
      </w:r>
      <w:r w:rsidR="00DF7060" w:rsidRPr="00303B3D">
        <w:rPr>
          <w:rFonts w:eastAsia="Times New Roman"/>
          <w:b/>
          <w:bCs/>
          <w:sz w:val="24"/>
          <w:szCs w:val="24"/>
        </w:rPr>
        <w:t>.</w:t>
      </w:r>
      <w:r w:rsidR="00BF2641">
        <w:rPr>
          <w:rFonts w:eastAsia="Times New Roman"/>
          <w:b/>
          <w:bCs/>
          <w:sz w:val="24"/>
          <w:szCs w:val="24"/>
        </w:rPr>
        <w:t>martam</w:t>
      </w:r>
      <w:r w:rsidR="0015148D">
        <w:rPr>
          <w:rFonts w:eastAsia="Times New Roman"/>
          <w:b/>
          <w:bCs/>
          <w:sz w:val="24"/>
          <w:szCs w:val="24"/>
        </w:rPr>
        <w:t xml:space="preserve"> plkst. 16</w:t>
      </w:r>
      <w:r w:rsidR="00DF7060" w:rsidRPr="00303B3D">
        <w:rPr>
          <w:rFonts w:eastAsia="Times New Roman"/>
          <w:b/>
          <w:bCs/>
          <w:sz w:val="24"/>
          <w:szCs w:val="24"/>
        </w:rPr>
        <w:t>:00</w:t>
      </w:r>
      <w:r w:rsidR="00966A5E">
        <w:rPr>
          <w:b/>
          <w:bCs/>
        </w:rPr>
        <w:br/>
      </w:r>
      <w:r w:rsidR="00966A5E">
        <w:rPr>
          <w:rFonts w:eastAsia="Times New Roman"/>
          <w:b/>
          <w:bCs/>
          <w:sz w:val="24"/>
          <w:szCs w:val="24"/>
        </w:rPr>
        <w:t>9</w:t>
      </w:r>
      <w:r w:rsidR="00DF7060" w:rsidRPr="00303B3D">
        <w:rPr>
          <w:rFonts w:eastAsia="Times New Roman"/>
          <w:b/>
          <w:bCs/>
          <w:sz w:val="24"/>
          <w:szCs w:val="24"/>
        </w:rPr>
        <w:t>.</w:t>
      </w:r>
      <w:r w:rsidR="00DF7060" w:rsidRPr="00303B3D">
        <w:rPr>
          <w:rFonts w:eastAsia="Times New Roman"/>
          <w:bCs/>
          <w:sz w:val="24"/>
          <w:szCs w:val="24"/>
        </w:rPr>
        <w:t>Piedāvājums var iesniegt:</w:t>
      </w:r>
      <w:r w:rsidR="00966A5E">
        <w:rPr>
          <w:b/>
          <w:bCs/>
        </w:rPr>
        <w:br/>
      </w:r>
      <w:r w:rsidR="00966A5E">
        <w:rPr>
          <w:rFonts w:eastAsia="Times New Roman"/>
          <w:bCs/>
          <w:sz w:val="24"/>
          <w:szCs w:val="24"/>
        </w:rPr>
        <w:t>9</w:t>
      </w:r>
      <w:r w:rsidR="00DF7060" w:rsidRPr="00303B3D">
        <w:rPr>
          <w:rFonts w:eastAsia="Times New Roman"/>
          <w:bCs/>
          <w:sz w:val="24"/>
          <w:szCs w:val="24"/>
        </w:rPr>
        <w:t>.1.personīgi, vai pa pastu pēc adreses Stacijas iela 47a, Daugavpilī (1.stāvs 105B.kab)</w:t>
      </w:r>
      <w:r w:rsidR="00966A5E">
        <w:rPr>
          <w:b/>
          <w:bCs/>
        </w:rPr>
        <w:br/>
      </w:r>
      <w:r w:rsidR="00966A5E">
        <w:rPr>
          <w:rFonts w:eastAsia="Times New Roman"/>
          <w:bCs/>
          <w:sz w:val="24"/>
          <w:szCs w:val="24"/>
        </w:rPr>
        <w:t>9</w:t>
      </w:r>
      <w:r w:rsidR="00DF7060" w:rsidRPr="00303B3D">
        <w:rPr>
          <w:rFonts w:eastAsia="Times New Roman"/>
          <w:bCs/>
          <w:sz w:val="24"/>
          <w:szCs w:val="24"/>
        </w:rPr>
        <w:t xml:space="preserve">.2.elektroniski (e-pasts: </w:t>
      </w:r>
      <w:proofErr w:type="spellStart"/>
      <w:r w:rsidR="00DF7060" w:rsidRPr="00303B3D">
        <w:rPr>
          <w:rFonts w:eastAsia="Times New Roman"/>
          <w:color w:val="0070C0"/>
          <w:sz w:val="24"/>
          <w:szCs w:val="24"/>
        </w:rPr>
        <w:t>sport@daugavpils.lv</w:t>
      </w:r>
      <w:proofErr w:type="spellEnd"/>
      <w:r w:rsidR="00DF7060" w:rsidRPr="00303B3D">
        <w:rPr>
          <w:rFonts w:eastAsia="Times New Roman"/>
          <w:sz w:val="24"/>
          <w:szCs w:val="24"/>
        </w:rPr>
        <w:t>)</w:t>
      </w:r>
    </w:p>
    <w:p w:rsidR="000C343F" w:rsidRDefault="000C343F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</w:p>
    <w:p w:rsidR="00425753" w:rsidRDefault="00425753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bookmarkStart w:id="0" w:name="_GoBack"/>
      <w:bookmarkEnd w:id="0"/>
    </w:p>
    <w:p w:rsidR="00DF7060" w:rsidRPr="00303B3D" w:rsidRDefault="00DF7060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lastRenderedPageBreak/>
        <w:t>Pielikumā:</w:t>
      </w:r>
    </w:p>
    <w:p w:rsidR="00966A5E" w:rsidRPr="00966A5E" w:rsidRDefault="0098423C" w:rsidP="00966A5E">
      <w:pPr>
        <w:pStyle w:val="ListParagraph"/>
        <w:numPr>
          <w:ilvl w:val="0"/>
          <w:numId w:val="3"/>
        </w:numPr>
        <w:rPr>
          <w:color w:val="000000"/>
        </w:rPr>
      </w:pPr>
      <w:r w:rsidRPr="0098423C">
        <w:rPr>
          <w:color w:val="000000"/>
        </w:rPr>
        <w:t>Projektēšanas uzdevums - tehniskā specifikācija</w:t>
      </w:r>
      <w:r w:rsidRPr="0098423C">
        <w:rPr>
          <w:rFonts w:eastAsia="Times New Roman"/>
          <w:bCs/>
        </w:rPr>
        <w:t>;</w:t>
      </w:r>
    </w:p>
    <w:p w:rsidR="000C343F" w:rsidRPr="000C343F" w:rsidRDefault="00DF7060" w:rsidP="00966A5E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Finanšu - tehniskais piedāvājums.</w:t>
      </w:r>
    </w:p>
    <w:p w:rsidR="000C343F" w:rsidRDefault="000C343F" w:rsidP="000C343F"/>
    <w:p w:rsidR="000C343F" w:rsidRDefault="000C343F" w:rsidP="000C343F">
      <w:pPr>
        <w:rPr>
          <w:sz w:val="24"/>
          <w:szCs w:val="24"/>
        </w:rPr>
      </w:pPr>
      <w:r w:rsidRPr="000C343F">
        <w:rPr>
          <w:sz w:val="24"/>
          <w:szCs w:val="24"/>
        </w:rPr>
        <w:t xml:space="preserve">Daugavpils pilsētas pašvaldības iestādes “Sporta pārvalde” </w:t>
      </w:r>
      <w:r>
        <w:rPr>
          <w:sz w:val="24"/>
          <w:szCs w:val="24"/>
        </w:rPr>
        <w:t>juriskonsulte</w:t>
      </w:r>
    </w:p>
    <w:p w:rsidR="000C343F" w:rsidRDefault="000C343F" w:rsidP="000C343F">
      <w:pPr>
        <w:rPr>
          <w:sz w:val="24"/>
          <w:szCs w:val="24"/>
        </w:rPr>
      </w:pPr>
    </w:p>
    <w:p w:rsidR="000C343F" w:rsidRDefault="000C343F" w:rsidP="000C343F">
      <w:pPr>
        <w:rPr>
          <w:sz w:val="24"/>
          <w:szCs w:val="24"/>
        </w:rPr>
      </w:pPr>
      <w:r>
        <w:rPr>
          <w:sz w:val="24"/>
          <w:szCs w:val="24"/>
        </w:rPr>
        <w:t>V.Petrova_________________</w:t>
      </w:r>
    </w:p>
    <w:p w:rsidR="000C343F" w:rsidRPr="000C343F" w:rsidRDefault="000C343F" w:rsidP="000C343F">
      <w:pPr>
        <w:rPr>
          <w:i/>
          <w:sz w:val="24"/>
          <w:szCs w:val="24"/>
        </w:rPr>
      </w:pPr>
    </w:p>
    <w:p w:rsidR="00614770" w:rsidRDefault="000C343F" w:rsidP="000C343F">
      <w:pPr>
        <w:rPr>
          <w:rFonts w:eastAsia="Times New Roman"/>
          <w:b/>
          <w:color w:val="000000"/>
          <w:sz w:val="24"/>
          <w:szCs w:val="24"/>
          <w:lang w:eastAsia="lv-LV"/>
        </w:rPr>
      </w:pPr>
      <w:r w:rsidRPr="000C343F">
        <w:rPr>
          <w:sz w:val="24"/>
          <w:szCs w:val="24"/>
        </w:rPr>
        <w:t xml:space="preserve">Daugavpilī, </w:t>
      </w:r>
      <w:proofErr w:type="gramStart"/>
      <w:r w:rsidRPr="000C343F">
        <w:rPr>
          <w:sz w:val="24"/>
          <w:szCs w:val="24"/>
        </w:rPr>
        <w:t>2019.gada</w:t>
      </w:r>
      <w:proofErr w:type="gramEnd"/>
      <w:r w:rsidRPr="000C343F">
        <w:rPr>
          <w:sz w:val="24"/>
          <w:szCs w:val="24"/>
        </w:rPr>
        <w:t xml:space="preserve"> 6.martā</w:t>
      </w:r>
      <w:r w:rsidRPr="003D5504">
        <w:rPr>
          <w:bCs/>
        </w:rPr>
        <w:br w:type="page"/>
      </w:r>
    </w:p>
    <w:p w:rsidR="000C343F" w:rsidRDefault="000C343F" w:rsidP="00614770">
      <w:pPr>
        <w:rPr>
          <w:rFonts w:eastAsia="Times New Roman"/>
          <w:b/>
          <w:color w:val="000000"/>
          <w:sz w:val="24"/>
          <w:szCs w:val="24"/>
          <w:lang w:eastAsia="lv-LV"/>
        </w:rPr>
      </w:pPr>
    </w:p>
    <w:p w:rsidR="000C343F" w:rsidRDefault="000C343F" w:rsidP="00614770">
      <w:pPr>
        <w:rPr>
          <w:rFonts w:eastAsia="Times New Roman"/>
          <w:b/>
          <w:color w:val="000000"/>
          <w:sz w:val="24"/>
          <w:szCs w:val="24"/>
          <w:lang w:eastAsia="lv-LV"/>
        </w:rPr>
        <w:sectPr w:rsidR="000C343F" w:rsidSect="0034147D">
          <w:pgSz w:w="12240" w:h="15840"/>
          <w:pgMar w:top="1440" w:right="1325" w:bottom="1440" w:left="1797" w:header="720" w:footer="720" w:gutter="0"/>
          <w:cols w:space="720"/>
          <w:docGrid w:linePitch="360"/>
        </w:sectPr>
      </w:pPr>
    </w:p>
    <w:tbl>
      <w:tblPr>
        <w:tblW w:w="15661" w:type="dxa"/>
        <w:tblInd w:w="93" w:type="dxa"/>
        <w:tblLook w:val="04A0" w:firstRow="1" w:lastRow="0" w:firstColumn="1" w:lastColumn="0" w:noHBand="0" w:noVBand="1"/>
      </w:tblPr>
      <w:tblGrid>
        <w:gridCol w:w="420"/>
        <w:gridCol w:w="1364"/>
        <w:gridCol w:w="6311"/>
        <w:gridCol w:w="1237"/>
        <w:gridCol w:w="1403"/>
        <w:gridCol w:w="1224"/>
        <w:gridCol w:w="1310"/>
        <w:gridCol w:w="71"/>
        <w:gridCol w:w="889"/>
        <w:gridCol w:w="960"/>
        <w:gridCol w:w="236"/>
        <w:gridCol w:w="236"/>
      </w:tblGrid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Pasūtītājs</w:t>
            </w:r>
            <w:proofErr w:type="gram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: </w:t>
            </w:r>
            <w:proofErr w:type="gram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  </w:t>
            </w:r>
            <w:r w:rsidRPr="004C5EBE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 xml:space="preserve">                  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color w:val="000000"/>
                <w:sz w:val="24"/>
                <w:szCs w:val="24"/>
                <w:lang w:eastAsia="lv-LV"/>
              </w:rPr>
              <w:t>Daugavpils pilsētas</w:t>
            </w:r>
            <w:proofErr w:type="gramStart"/>
            <w:r w:rsidRPr="004C5EBE">
              <w:rPr>
                <w:rFonts w:eastAsia="Times New Roman"/>
                <w:b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b/>
                <w:color w:val="000000"/>
                <w:sz w:val="24"/>
                <w:szCs w:val="24"/>
                <w:lang w:eastAsia="lv-LV"/>
              </w:rPr>
              <w:t>pašvaldības iestāde „Sporta pārvalde”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Objekta</w:t>
            </w:r>
            <w:proofErr w:type="gram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 </w:t>
            </w:r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    </w:t>
            </w:r>
            <w:proofErr w:type="gramEnd"/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25 m šautuves sektora ķieģeļu mūra </w:t>
            </w:r>
            <w:proofErr w:type="spellStart"/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pašnesošās</w:t>
            </w:r>
            <w:proofErr w:type="spellEnd"/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sienas </w:t>
            </w:r>
          </w:p>
        </w:tc>
        <w:tc>
          <w:tcPr>
            <w:tcW w:w="3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ind w:left="-250" w:firstLine="250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nosaukums: 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atjaunošana Raiņa ielā 29, Daugavpilī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Objekta</w:t>
            </w:r>
            <w:proofErr w:type="gram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      </w:t>
            </w:r>
            <w:proofErr w:type="gramEnd"/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adrese:</w:t>
            </w:r>
            <w:proofErr w:type="gram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       </w:t>
            </w:r>
            <w:proofErr w:type="gramEnd"/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Raiņa ielā 29, Daugavpils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Darbu apjomi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  <w:t>Vispārējie būvdarbi</w:t>
            </w:r>
            <w:proofErr w:type="gramStart"/>
            <w:r w:rsidRPr="004C5E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 : </w:t>
            </w:r>
            <w:proofErr w:type="gramEnd"/>
            <w:r w:rsidRPr="004C5E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  <w:t>AR daļa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>( Pamatojoties</w:t>
            </w:r>
            <w:proofErr w:type="gramStart"/>
            <w:r w:rsidRPr="004C5EBE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>uz  AR rasējumiem 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Darba</w:t>
            </w:r>
            <w:proofErr w:type="gramStart"/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Daudzums</w:t>
            </w:r>
          </w:p>
        </w:tc>
      </w:tr>
      <w:tr w:rsidR="004C5EBE" w:rsidRPr="004C5EBE" w:rsidTr="004B1A69">
        <w:trPr>
          <w:gridAfter w:val="5"/>
          <w:wAfter w:w="2392" w:type="dxa"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I. Sagatavošanās darbi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Būvgružu </w:t>
            </w: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konteinieru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noma ( 7m3)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MMJ kabeli gofrēta caurulē pārvietošana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4C5EBE" w:rsidRPr="004C5EBE" w:rsidTr="004B1A69">
        <w:trPr>
          <w:gridAfter w:val="5"/>
          <w:wAfter w:w="2392" w:type="dxa"/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II. Celtniecības darbi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EBE" w:rsidRPr="004C5EBE" w:rsidTr="004B1A69">
        <w:trPr>
          <w:gridAfter w:val="5"/>
          <w:wAfter w:w="2392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Ķieģeļu sienas remonts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Sienas ķieģeļu mūra remonts (daļēji), b=120mm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50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Ķieģeļu sienas plaisu aizpildīšana ar specializētu minerālā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sastavu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Ķieģeļu sienas remonts: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EBE" w:rsidRPr="004C5EBE" w:rsidTr="004B1A69">
        <w:trPr>
          <w:gridAfter w:val="5"/>
          <w:wAfter w:w="2392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right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U profila auksti deformēta 10x10x10x1.5x60000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montāža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m/kg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35,3/564,8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right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L65x65x6mm montāža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m/kg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29,6/78,7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U profilā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spellStart"/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putupolistirola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montāža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2,50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U profilā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metāla sietu montāža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8,00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Kieģ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 mūra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sienas un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pilastras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apmetumu remonts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190,00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Ķieģ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 mūra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sienas un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pilastras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krāsošana:  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252,00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right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EBE" w:rsidRPr="004C5EBE" w:rsidRDefault="004C5EBE" w:rsidP="004C5EBE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fasāžu krāsa "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Palazzo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35" (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Caparol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) vai analogs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252,00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Esoša koka </w:t>
            </w: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durvja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 xml:space="preserve"> krāsošana (tonis tumši brūns)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./m2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1/4,8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Skardu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parapetu nomaiņa vīrs ķieģeļu sienu un pilastru s=0,5mm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15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Betona apmaļu (b=0.5m) ierīkošana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37,3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Koka norobežošana (13m.)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Metāla stabu 80x80x3, L=3.2m montāža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6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OSB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pl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 (2500x1250x15mm)uz koka brusa 50x100mm montāža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/m2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10/31,25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OSB plākšņu un koka brusa krāsošana (tonis-tumši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pēleks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)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68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Cinkotu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skarda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elementu montāža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m/m2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13/1,3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Pagaidu žogs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Krāsotu metāla stabu DN38-42,L=2.2m montāža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24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Metinātu metāla sietu 1.8x25m (DN2.2,100x50) montāža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55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Vārtiņu montāža ( 900x1800mm)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4C5EBE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C5EB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Piezimes</w:t>
            </w:r>
            <w:proofErr w:type="spellEnd"/>
            <w:r w:rsidRPr="004C5EB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42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  Būvuzņēmējam jāievērtē darba apjomā minēto darbu veikšanai nepieciešamie materiāli un papildus</w:t>
            </w:r>
          </w:p>
        </w:tc>
        <w:tc>
          <w:tcPr>
            <w:tcW w:w="5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42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darbi, kas nav minēti šajā sarakstā, bet bez kuriem nebūtu 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iespējama būvdarbu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tehnoloģiski pareiza</w:t>
            </w:r>
          </w:p>
        </w:tc>
        <w:tc>
          <w:tcPr>
            <w:tcW w:w="5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5"/>
          <w:wAfter w:w="2392" w:type="dxa"/>
          <w:trHeight w:val="342"/>
        </w:trPr>
        <w:tc>
          <w:tcPr>
            <w:tcW w:w="9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un esošajiem normatīviem atbilstoša veikšana pilnā apmērā.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C5EBE" w:rsidRPr="004C5EBE" w:rsidTr="004B1A69">
        <w:trPr>
          <w:gridAfter w:val="4"/>
          <w:wAfter w:w="2321" w:type="dxa"/>
          <w:trHeight w:val="702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BE" w:rsidRPr="004C5EBE" w:rsidRDefault="004C5EBE" w:rsidP="004C5EBE">
            <w:pPr>
              <w:ind w:right="1327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2.  </w:t>
            </w: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Būvizmaksu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tāmes jāsagatavo atbilstoši Ministru kabineta noteikumu Nr. 239 “Noteikumi par Latvijas būvnormatīvu LBN 501-17 "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Būvizmaksu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noteikšanas kārtība"” prasībām.</w:t>
            </w:r>
          </w:p>
        </w:tc>
      </w:tr>
      <w:tr w:rsidR="004C5EBE" w:rsidRPr="004C5EBE" w:rsidTr="004B1A69">
        <w:trPr>
          <w:gridAfter w:val="4"/>
          <w:wAfter w:w="2321" w:type="dxa"/>
          <w:trHeight w:val="375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2.1.</w:t>
            </w: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Lokālā tāme (5. pielikums Latvijas būvnormatīvam LBN 501-17). Lokālās tāmes beigās pievieno </w:t>
            </w:r>
            <w:proofErr w:type="spell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virsizdevumu</w:t>
            </w:r>
            <w:proofErr w:type="spell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daļu un peļņu.</w:t>
            </w:r>
          </w:p>
        </w:tc>
      </w:tr>
      <w:tr w:rsidR="004C5EBE" w:rsidRPr="004C5EBE" w:rsidTr="000C343F">
        <w:trPr>
          <w:gridAfter w:val="4"/>
          <w:wAfter w:w="2321" w:type="dxa"/>
          <w:trHeight w:val="638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BE" w:rsidRPr="004C5EBE" w:rsidRDefault="004C5EBE" w:rsidP="004C5EBE">
            <w:pPr>
              <w:ind w:right="902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3.</w:t>
            </w: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Ja remontdarbu veikšanas laikā Būvuzņēmēja darbības vai bezdarbības rezultātā ēkai vai inventāram, kur tiek veikti re</w:t>
            </w:r>
            <w:r w:rsidR="000C343F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montdarbi, radušies bojājumi, </w:t>
            </w: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Būvuzņēmējs tos novērš par saviem līdzekļiem vai atlīdzina Pasūtītājam nodarītos materiālos zaudējumus</w:t>
            </w:r>
          </w:p>
        </w:tc>
      </w:tr>
      <w:tr w:rsidR="004C5EBE" w:rsidRPr="004C5EBE" w:rsidTr="004B1A69">
        <w:trPr>
          <w:gridAfter w:val="4"/>
          <w:wAfter w:w="2321" w:type="dxa"/>
          <w:trHeight w:val="870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4</w:t>
            </w: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  Būvuzņēmējs garantē izpildīto Darbu atbilstību Līguma noteikumiem, esošajiem normatīvajiem aktiem. Pretendents garantē, ka Darbos nebūs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nekādu defektu to kvalitātes, materiālu, nepareizu Darbu, vai kādu citu iemeslu dēļ. Garantijas termiņš tiek noteikts atbilstoši Pretendenta piedāvājumam, bet tas nevar būt īsāks par 36 mēnešiem.</w:t>
            </w:r>
          </w:p>
        </w:tc>
      </w:tr>
      <w:tr w:rsidR="004C5EBE" w:rsidRPr="004C5EBE" w:rsidTr="004B1A69">
        <w:trPr>
          <w:trHeight w:val="300"/>
        </w:trPr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EBE" w:rsidRPr="004C5EBE" w:rsidRDefault="004C5EBE" w:rsidP="004C5EB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Sagatavoja :</w:t>
            </w: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Sporta pārvalde ēku ekspluatācijas būvinženieris</w:t>
            </w:r>
            <w:proofErr w:type="gramStart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proofErr w:type="gramEnd"/>
            <w:r w:rsidRPr="004C5EBE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Ē. Pavlovskis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EBE" w:rsidRPr="004C5EBE" w:rsidRDefault="004C5EBE" w:rsidP="004C5EBE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98423C" w:rsidRDefault="0098423C" w:rsidP="004838FF">
      <w:pPr>
        <w:rPr>
          <w:sz w:val="24"/>
          <w:szCs w:val="24"/>
        </w:rPr>
      </w:pPr>
    </w:p>
    <w:p w:rsidR="00120E3F" w:rsidRDefault="004838FF" w:rsidP="00DF7060">
      <w:pPr>
        <w:suppressAutoHyphens/>
        <w:rPr>
          <w:rFonts w:eastAsia="Times New Roman"/>
          <w:sz w:val="24"/>
          <w:szCs w:val="24"/>
          <w:lang w:eastAsia="ar-SA"/>
        </w:rPr>
        <w:sectPr w:rsidR="00120E3F" w:rsidSect="00120E3F">
          <w:pgSz w:w="15840" w:h="12240" w:orient="landscape"/>
          <w:pgMar w:top="1702" w:right="1440" w:bottom="1797" w:left="1440" w:header="720" w:footer="720" w:gutter="0"/>
          <w:cols w:space="720"/>
          <w:docGrid w:linePitch="360"/>
        </w:sectPr>
      </w:pPr>
      <w:r w:rsidRPr="00303B3D">
        <w:rPr>
          <w:rFonts w:eastAsia="Times New Roman"/>
          <w:sz w:val="24"/>
          <w:szCs w:val="24"/>
          <w:lang w:eastAsia="ar-SA"/>
        </w:rPr>
        <w:t xml:space="preserve">          </w:t>
      </w:r>
    </w:p>
    <w:p w:rsidR="004C5EBE" w:rsidRPr="00303B3D" w:rsidRDefault="004C5EBE" w:rsidP="004C5EBE">
      <w:pPr>
        <w:suppressAutoHyphens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                       </w:t>
      </w:r>
      <w:r w:rsidRPr="00303B3D">
        <w:rPr>
          <w:rFonts w:eastAsia="Times New Roman"/>
          <w:sz w:val="24"/>
          <w:szCs w:val="24"/>
          <w:lang w:eastAsia="ar-SA"/>
        </w:rPr>
        <w:t xml:space="preserve">           </w:t>
      </w:r>
      <w:r>
        <w:rPr>
          <w:rFonts w:eastAsia="Times New Roman"/>
          <w:sz w:val="24"/>
          <w:szCs w:val="24"/>
          <w:lang w:eastAsia="ar-SA"/>
        </w:rPr>
        <w:t>2.Pielikums</w:t>
      </w:r>
      <w:r>
        <w:rPr>
          <w:rFonts w:eastAsia="Times New Roman"/>
          <w:sz w:val="24"/>
          <w:szCs w:val="24"/>
          <w:lang w:eastAsia="ar-SA"/>
        </w:rPr>
        <w:br/>
        <w:t>2019</w:t>
      </w:r>
      <w:r w:rsidRPr="00303B3D">
        <w:rPr>
          <w:rFonts w:eastAsia="Times New Roman"/>
          <w:sz w:val="24"/>
          <w:szCs w:val="24"/>
          <w:lang w:eastAsia="ar-SA"/>
        </w:rPr>
        <w:t>.gada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C5EBE" w:rsidRPr="00303B3D" w:rsidTr="0039096C">
        <w:trPr>
          <w:cantSplit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39096C">
        <w:trPr>
          <w:trHeight w:val="23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39096C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39096C">
        <w:trPr>
          <w:trHeight w:val="54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39096C">
        <w:trPr>
          <w:trHeight w:val="1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39096C">
        <w:trPr>
          <w:trHeight w:val="42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98423C" w:rsidRDefault="004C5EBE" w:rsidP="004C5EBE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 xml:space="preserve">Piesakās piedalīties iepirkumā </w:t>
      </w:r>
      <w:r w:rsidRPr="00303B3D">
        <w:rPr>
          <w:rFonts w:eastAsia="Times New Roman"/>
          <w:b/>
          <w:bCs/>
          <w:sz w:val="24"/>
          <w:szCs w:val="24"/>
        </w:rPr>
        <w:t>„</w:t>
      </w:r>
      <w:r>
        <w:rPr>
          <w:rFonts w:eastAsia="Times New Roman"/>
          <w:sz w:val="24"/>
          <w:szCs w:val="24"/>
        </w:rPr>
        <w:t xml:space="preserve">Tehnikās dokumentācijas izstrāde </w:t>
      </w:r>
      <w:r w:rsidRPr="0098423C">
        <w:rPr>
          <w:color w:val="000000"/>
          <w:sz w:val="24"/>
          <w:szCs w:val="24"/>
        </w:rPr>
        <w:t>“</w:t>
      </w:r>
      <w:r w:rsidR="004B1A69" w:rsidRPr="0098423C">
        <w:rPr>
          <w:sz w:val="24"/>
          <w:szCs w:val="24"/>
          <w:lang w:eastAsia="ru-RU"/>
        </w:rPr>
        <w:t xml:space="preserve">25m šautuves sektora ķieģeļu mūra </w:t>
      </w:r>
      <w:proofErr w:type="spellStart"/>
      <w:r w:rsidR="004B1A69" w:rsidRPr="0098423C">
        <w:rPr>
          <w:sz w:val="24"/>
          <w:szCs w:val="24"/>
          <w:lang w:eastAsia="ru-RU"/>
        </w:rPr>
        <w:t>pašnesošās</w:t>
      </w:r>
      <w:proofErr w:type="spellEnd"/>
      <w:r w:rsidR="004B1A69" w:rsidRPr="0098423C">
        <w:rPr>
          <w:sz w:val="24"/>
          <w:szCs w:val="24"/>
          <w:lang w:eastAsia="ru-RU"/>
        </w:rPr>
        <w:t xml:space="preserve"> sienas atjaunošana</w:t>
      </w:r>
      <w:r w:rsidR="004B1A69">
        <w:rPr>
          <w:sz w:val="24"/>
          <w:szCs w:val="24"/>
          <w:lang w:eastAsia="ru-RU"/>
        </w:rPr>
        <w:t xml:space="preserve"> pēc adreses Raiņa ielā 29, Daugavpilī</w:t>
      </w:r>
      <w:r w:rsidRPr="0098423C">
        <w:rPr>
          <w:rFonts w:eastAsia="Times New Roman"/>
          <w:bCs/>
          <w:sz w:val="24"/>
          <w:szCs w:val="24"/>
        </w:rPr>
        <w:t>”</w:t>
      </w:r>
      <w:r>
        <w:rPr>
          <w:rFonts w:eastAsia="Times New Roman"/>
          <w:bCs/>
          <w:sz w:val="24"/>
          <w:szCs w:val="24"/>
        </w:rPr>
        <w:t>.</w:t>
      </w:r>
    </w:p>
    <w:p w:rsidR="004C5EBE" w:rsidRPr="00303B3D" w:rsidRDefault="004C5EBE" w:rsidP="004C5EBE">
      <w:pPr>
        <w:tabs>
          <w:tab w:val="left" w:pos="0"/>
        </w:tabs>
        <w:jc w:val="both"/>
        <w:rPr>
          <w:b/>
          <w:sz w:val="24"/>
          <w:szCs w:val="24"/>
        </w:rPr>
      </w:pPr>
      <w:r w:rsidRPr="00303B3D">
        <w:rPr>
          <w:b/>
          <w:bCs/>
          <w:sz w:val="24"/>
          <w:szCs w:val="24"/>
        </w:rPr>
        <w:t xml:space="preserve"> id</w:t>
      </w:r>
      <w:r>
        <w:rPr>
          <w:b/>
          <w:bCs/>
          <w:sz w:val="24"/>
          <w:szCs w:val="24"/>
        </w:rPr>
        <w:t>entifikācijas numurs DPPISP_2019</w:t>
      </w:r>
      <w:r w:rsidRPr="00303B3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17</w:t>
      </w:r>
      <w:r w:rsidRPr="00303B3D">
        <w:rPr>
          <w:b/>
          <w:bCs/>
          <w:sz w:val="24"/>
          <w:szCs w:val="24"/>
        </w:rPr>
        <w:t xml:space="preserve">N, </w:t>
      </w:r>
      <w:r w:rsidRPr="00303B3D">
        <w:rPr>
          <w:sz w:val="24"/>
          <w:szCs w:val="24"/>
        </w:rPr>
        <w:t>piekrīt visiem Nolikuma nosacījumiem un garantē</w:t>
      </w:r>
      <w:proofErr w:type="gramStart"/>
      <w:r w:rsidRPr="00303B3D">
        <w:rPr>
          <w:sz w:val="24"/>
          <w:szCs w:val="24"/>
        </w:rPr>
        <w:t xml:space="preserve"> .</w:t>
      </w:r>
      <w:proofErr w:type="gramEnd"/>
      <w:r w:rsidRPr="00303B3D">
        <w:rPr>
          <w:sz w:val="24"/>
          <w:szCs w:val="24"/>
        </w:rPr>
        <w:t xml:space="preserve">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</w:t>
      </w:r>
      <w:proofErr w:type="gramStart"/>
      <w:r w:rsidRPr="00303B3D">
        <w:rPr>
          <w:i/>
          <w:lang w:eastAsia="en-US"/>
        </w:rPr>
        <w:t xml:space="preserve"> )</w:t>
      </w:r>
      <w:proofErr w:type="gramEnd"/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3909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390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39096C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39096C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3F" w:rsidRPr="00303B3D" w:rsidRDefault="000C343F" w:rsidP="000C343F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</w:rPr>
            </w:pPr>
            <w:r w:rsidRPr="0098423C">
              <w:rPr>
                <w:sz w:val="24"/>
                <w:szCs w:val="24"/>
                <w:lang w:eastAsia="ru-RU"/>
              </w:rPr>
              <w:t xml:space="preserve">25m šautuves sektora ķieģeļu mūra </w:t>
            </w:r>
            <w:proofErr w:type="spellStart"/>
            <w:r w:rsidRPr="0098423C">
              <w:rPr>
                <w:sz w:val="24"/>
                <w:szCs w:val="24"/>
                <w:lang w:eastAsia="ru-RU"/>
              </w:rPr>
              <w:t>pašnesošās</w:t>
            </w:r>
            <w:proofErr w:type="spellEnd"/>
            <w:r w:rsidRPr="0098423C">
              <w:rPr>
                <w:sz w:val="24"/>
                <w:szCs w:val="24"/>
                <w:lang w:eastAsia="ru-RU"/>
              </w:rPr>
              <w:t xml:space="preserve"> sienas atjaunošana</w:t>
            </w:r>
            <w:r>
              <w:rPr>
                <w:sz w:val="24"/>
                <w:szCs w:val="24"/>
                <w:lang w:eastAsia="ru-RU"/>
              </w:rPr>
              <w:t xml:space="preserve"> pēc adreses Raiņa ielā 29, Daugavpilī</w:t>
            </w:r>
          </w:p>
          <w:p w:rsidR="004C5EBE" w:rsidRPr="00303B3D" w:rsidRDefault="004C5EBE" w:rsidP="0039096C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3909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39096C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39096C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39096C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39096C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39096C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39096C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39096C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39096C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39096C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DF7060" w:rsidRDefault="00DF7060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DF7060" w:rsidSect="00120E3F">
      <w:pgSz w:w="12240" w:h="15840"/>
      <w:pgMar w:top="1440" w:right="1701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C343F"/>
    <w:rsid w:val="00120E3F"/>
    <w:rsid w:val="0015148D"/>
    <w:rsid w:val="00167555"/>
    <w:rsid w:val="001910E7"/>
    <w:rsid w:val="001E67C4"/>
    <w:rsid w:val="001E6F16"/>
    <w:rsid w:val="00303B3D"/>
    <w:rsid w:val="0034147D"/>
    <w:rsid w:val="00425753"/>
    <w:rsid w:val="004838FF"/>
    <w:rsid w:val="004873CB"/>
    <w:rsid w:val="004A0F68"/>
    <w:rsid w:val="004B1A69"/>
    <w:rsid w:val="004C5EBE"/>
    <w:rsid w:val="005363F3"/>
    <w:rsid w:val="005834A4"/>
    <w:rsid w:val="005C578B"/>
    <w:rsid w:val="006067B9"/>
    <w:rsid w:val="00614770"/>
    <w:rsid w:val="0067282D"/>
    <w:rsid w:val="0084157E"/>
    <w:rsid w:val="009556EC"/>
    <w:rsid w:val="00966A5E"/>
    <w:rsid w:val="0098423C"/>
    <w:rsid w:val="00A336E8"/>
    <w:rsid w:val="00AD649A"/>
    <w:rsid w:val="00BF2641"/>
    <w:rsid w:val="00DF7060"/>
    <w:rsid w:val="00E02F88"/>
    <w:rsid w:val="00E601E9"/>
    <w:rsid w:val="00E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CB24-6330-4158-8887-224F2615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4626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5</cp:revision>
  <cp:lastPrinted>2019-03-06T14:40:00Z</cp:lastPrinted>
  <dcterms:created xsi:type="dcterms:W3CDTF">2019-03-06T06:45:00Z</dcterms:created>
  <dcterms:modified xsi:type="dcterms:W3CDTF">2019-03-06T14:44:00Z</dcterms:modified>
</cp:coreProperties>
</file>