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F31F" w14:textId="77777777" w:rsidR="0009759E" w:rsidRDefault="0009759E" w:rsidP="009E2A95">
      <w:pPr>
        <w:jc w:val="center"/>
        <w:rPr>
          <w:lang w:val="lv-LV"/>
        </w:rPr>
      </w:pPr>
    </w:p>
    <w:p w14:paraId="6769D070" w14:textId="109728CD" w:rsidR="00916E75" w:rsidRDefault="00916E75" w:rsidP="00743610">
      <w:pPr>
        <w:contextualSpacing/>
        <w:jc w:val="center"/>
        <w:rPr>
          <w:sz w:val="22"/>
          <w:szCs w:val="22"/>
          <w:lang w:val="lv-LV"/>
        </w:rPr>
      </w:pPr>
    </w:p>
    <w:p w14:paraId="6A12BE91" w14:textId="5BBC36AF" w:rsidR="006D2003" w:rsidRPr="00770C42" w:rsidRDefault="00B10645" w:rsidP="006D2003">
      <w:pPr>
        <w:jc w:val="center"/>
        <w:rPr>
          <w:sz w:val="22"/>
          <w:szCs w:val="22"/>
          <w:lang w:val="lv-LV"/>
        </w:rPr>
      </w:pPr>
      <w:r>
        <w:rPr>
          <w:sz w:val="22"/>
          <w:szCs w:val="22"/>
          <w:lang w:val="lv-LV"/>
        </w:rPr>
        <w:t>Publiskā</w:t>
      </w:r>
      <w:r w:rsidR="006D2003" w:rsidRPr="00770C42">
        <w:rPr>
          <w:sz w:val="22"/>
          <w:szCs w:val="22"/>
          <w:lang w:val="lv-LV"/>
        </w:rPr>
        <w:t xml:space="preserve"> sarunu procedūra</w:t>
      </w:r>
    </w:p>
    <w:p w14:paraId="7B20FA8D" w14:textId="4637EFE5" w:rsidR="006D2003" w:rsidRPr="00743610" w:rsidRDefault="006D2003" w:rsidP="006D2003">
      <w:pPr>
        <w:contextualSpacing/>
        <w:jc w:val="center"/>
        <w:rPr>
          <w:b/>
          <w:bCs/>
          <w:iCs/>
          <w:sz w:val="22"/>
          <w:szCs w:val="22"/>
          <w:lang w:val="lv-LV"/>
        </w:rPr>
      </w:pPr>
      <w:r w:rsidRPr="00770C42">
        <w:rPr>
          <w:b/>
          <w:bCs/>
          <w:i/>
          <w:sz w:val="22"/>
          <w:szCs w:val="22"/>
          <w:lang w:val="lv-LV"/>
        </w:rPr>
        <w:t>“</w:t>
      </w:r>
      <w:r w:rsidR="00723EFC" w:rsidRPr="00723EFC">
        <w:rPr>
          <w:b/>
          <w:bCs/>
          <w:i/>
          <w:lang w:val="lv-LV" w:eastAsia="ar-SA"/>
        </w:rPr>
        <w:t>Dabasgāzes iegāde</w:t>
      </w:r>
      <w:r w:rsidRPr="00743610">
        <w:rPr>
          <w:b/>
          <w:bCs/>
          <w:iCs/>
          <w:sz w:val="22"/>
          <w:szCs w:val="22"/>
          <w:lang w:val="lv-LV"/>
        </w:rPr>
        <w:t>”</w:t>
      </w:r>
    </w:p>
    <w:p w14:paraId="1204ECAF" w14:textId="173C3E7A" w:rsidR="006D2003" w:rsidRDefault="006D2003" w:rsidP="006D2003">
      <w:pPr>
        <w:contextualSpacing/>
        <w:jc w:val="center"/>
        <w:rPr>
          <w:sz w:val="22"/>
          <w:szCs w:val="22"/>
          <w:lang w:val="lv-LV"/>
        </w:rPr>
      </w:pPr>
      <w:r w:rsidRPr="00743610">
        <w:rPr>
          <w:sz w:val="22"/>
          <w:szCs w:val="22"/>
          <w:lang w:val="lv-LV"/>
        </w:rPr>
        <w:t>Identifikācijas numurs DŪ-2021/</w:t>
      </w:r>
      <w:r w:rsidR="002B3EE0">
        <w:rPr>
          <w:sz w:val="22"/>
          <w:szCs w:val="22"/>
          <w:lang w:val="lv-LV"/>
        </w:rPr>
        <w:t>1</w:t>
      </w:r>
      <w:r w:rsidR="00723EFC">
        <w:rPr>
          <w:sz w:val="22"/>
          <w:szCs w:val="22"/>
          <w:lang w:val="lv-LV"/>
        </w:rPr>
        <w:t>6</w:t>
      </w:r>
    </w:p>
    <w:p w14:paraId="1C715E46" w14:textId="1A4D403A" w:rsidR="006D2003" w:rsidRDefault="006D2003" w:rsidP="00743610">
      <w:pPr>
        <w:contextualSpacing/>
        <w:jc w:val="center"/>
        <w:rPr>
          <w:sz w:val="22"/>
          <w:szCs w:val="22"/>
          <w:lang w:val="lv-LV"/>
        </w:rPr>
      </w:pPr>
    </w:p>
    <w:p w14:paraId="20A5B316" w14:textId="77777777" w:rsidR="002B3EE0" w:rsidRDefault="002B3EE0" w:rsidP="00743610">
      <w:pPr>
        <w:contextualSpacing/>
        <w:jc w:val="center"/>
        <w:rPr>
          <w:sz w:val="22"/>
          <w:szCs w:val="22"/>
          <w:lang w:val="lv-LV"/>
        </w:rPr>
      </w:pPr>
    </w:p>
    <w:p w14:paraId="1174A24C" w14:textId="35A33CF4" w:rsidR="006D2003" w:rsidRPr="00073767" w:rsidRDefault="006D2003" w:rsidP="006D2003">
      <w:pPr>
        <w:contextualSpacing/>
        <w:rPr>
          <w:color w:val="FF0000"/>
          <w:sz w:val="22"/>
          <w:szCs w:val="22"/>
          <w:lang w:val="lv-LV"/>
        </w:rPr>
      </w:pPr>
      <w:r w:rsidRPr="00D713AD">
        <w:rPr>
          <w:rFonts w:eastAsia="Calibri"/>
          <w:bCs/>
          <w:iCs/>
          <w:sz w:val="22"/>
          <w:szCs w:val="22"/>
          <w:lang w:val="lv-LV"/>
        </w:rPr>
        <w:t xml:space="preserve">Daugavpilī, 2021.gada </w:t>
      </w:r>
      <w:r w:rsidR="002B3EE0" w:rsidRPr="00B10645">
        <w:rPr>
          <w:rFonts w:eastAsia="Calibri"/>
          <w:bCs/>
          <w:iCs/>
          <w:sz w:val="22"/>
          <w:szCs w:val="22"/>
          <w:lang w:val="lv-LV"/>
        </w:rPr>
        <w:t>1</w:t>
      </w:r>
      <w:r w:rsidR="00723EFC" w:rsidRPr="00B10645">
        <w:rPr>
          <w:rFonts w:eastAsia="Calibri"/>
          <w:bCs/>
          <w:iCs/>
          <w:sz w:val="22"/>
          <w:szCs w:val="22"/>
          <w:lang w:val="lv-LV"/>
        </w:rPr>
        <w:t>7</w:t>
      </w:r>
      <w:r w:rsidRPr="00B10645">
        <w:rPr>
          <w:rFonts w:eastAsia="Calibri"/>
          <w:bCs/>
          <w:iCs/>
          <w:sz w:val="22"/>
          <w:szCs w:val="22"/>
          <w:lang w:val="lv-LV"/>
        </w:rPr>
        <w:t>.</w:t>
      </w:r>
      <w:r w:rsidR="002B3EE0" w:rsidRPr="00B10645">
        <w:rPr>
          <w:rFonts w:eastAsia="Calibri"/>
          <w:bCs/>
          <w:iCs/>
          <w:sz w:val="22"/>
          <w:szCs w:val="22"/>
          <w:lang w:val="lv-LV"/>
        </w:rPr>
        <w:t>jūnijā</w:t>
      </w:r>
    </w:p>
    <w:p w14:paraId="05371D45" w14:textId="0FD40772" w:rsidR="006D2003" w:rsidRDefault="006D2003" w:rsidP="00743610">
      <w:pPr>
        <w:contextualSpacing/>
        <w:jc w:val="center"/>
        <w:rPr>
          <w:sz w:val="22"/>
          <w:szCs w:val="22"/>
          <w:lang w:val="lv-LV"/>
        </w:rPr>
      </w:pPr>
    </w:p>
    <w:p w14:paraId="496EAFE2" w14:textId="1E9F9D94" w:rsidR="006D2003" w:rsidRPr="00743610" w:rsidRDefault="006D2003" w:rsidP="006D2003">
      <w:pPr>
        <w:contextualSpacing/>
        <w:rPr>
          <w:sz w:val="22"/>
          <w:szCs w:val="22"/>
          <w:lang w:val="lv-LV"/>
        </w:rPr>
      </w:pPr>
      <w:r w:rsidRPr="006F6F00">
        <w:rPr>
          <w:rFonts w:eastAsia="Calibri"/>
          <w:b/>
          <w:iCs/>
          <w:sz w:val="22"/>
          <w:szCs w:val="22"/>
          <w:lang w:val="lv-LV"/>
        </w:rPr>
        <w:t>Papildus informācija Nr.1</w:t>
      </w:r>
    </w:p>
    <w:p w14:paraId="41CAC0A5" w14:textId="77777777" w:rsidR="002B3EE0" w:rsidRPr="00B10645" w:rsidRDefault="002B3EE0" w:rsidP="006D2003">
      <w:pPr>
        <w:pStyle w:val="Standard"/>
        <w:jc w:val="both"/>
        <w:rPr>
          <w:noProof/>
          <w:sz w:val="14"/>
          <w:szCs w:val="14"/>
          <w:lang w:val="lv-LV" w:eastAsia="lv-LV"/>
        </w:rPr>
      </w:pPr>
    </w:p>
    <w:p w14:paraId="48CBB21F" w14:textId="0F3B1580" w:rsidR="006D2003" w:rsidRDefault="006D2003" w:rsidP="006D2003">
      <w:pPr>
        <w:pStyle w:val="Standard"/>
        <w:jc w:val="both"/>
        <w:rPr>
          <w:noProof/>
          <w:sz w:val="22"/>
          <w:szCs w:val="22"/>
          <w:lang w:val="lv-LV" w:eastAsia="lv-LV"/>
        </w:rPr>
      </w:pPr>
      <w:r w:rsidRPr="0061710C">
        <w:rPr>
          <w:noProof/>
          <w:sz w:val="22"/>
          <w:szCs w:val="22"/>
          <w:lang w:val="lv-LV" w:eastAsia="lv-LV"/>
        </w:rPr>
        <w:t>Iepirkumu komisija sniedz atbildi uz ieinteresēt</w:t>
      </w:r>
      <w:r w:rsidR="002B3EE0">
        <w:rPr>
          <w:noProof/>
          <w:sz w:val="22"/>
          <w:szCs w:val="22"/>
          <w:lang w:val="lv-LV" w:eastAsia="lv-LV"/>
        </w:rPr>
        <w:t xml:space="preserve">ā </w:t>
      </w:r>
      <w:r w:rsidRPr="0061710C">
        <w:rPr>
          <w:noProof/>
          <w:sz w:val="22"/>
          <w:szCs w:val="22"/>
          <w:lang w:val="lv-LV" w:eastAsia="lv-LV"/>
        </w:rPr>
        <w:t>piegādātāj</w:t>
      </w:r>
      <w:r w:rsidR="002B3EE0">
        <w:rPr>
          <w:noProof/>
          <w:sz w:val="22"/>
          <w:szCs w:val="22"/>
          <w:lang w:val="lv-LV" w:eastAsia="lv-LV"/>
        </w:rPr>
        <w:t>a</w:t>
      </w:r>
      <w:r w:rsidRPr="0061710C">
        <w:rPr>
          <w:noProof/>
          <w:sz w:val="22"/>
          <w:szCs w:val="22"/>
          <w:lang w:val="lv-LV" w:eastAsia="lv-LV"/>
        </w:rPr>
        <w:t xml:space="preserve"> iesniegt</w:t>
      </w:r>
      <w:r w:rsidR="002B3EE0">
        <w:rPr>
          <w:noProof/>
          <w:sz w:val="22"/>
          <w:szCs w:val="22"/>
          <w:lang w:val="lv-LV" w:eastAsia="lv-LV"/>
        </w:rPr>
        <w:t>o</w:t>
      </w:r>
      <w:r w:rsidRPr="0061710C">
        <w:rPr>
          <w:noProof/>
          <w:sz w:val="22"/>
          <w:szCs w:val="22"/>
          <w:lang w:val="lv-LV" w:eastAsia="lv-LV"/>
        </w:rPr>
        <w:t xml:space="preserve"> jautājum</w:t>
      </w:r>
      <w:r w:rsidR="002B3EE0">
        <w:rPr>
          <w:noProof/>
          <w:sz w:val="22"/>
          <w:szCs w:val="22"/>
          <w:lang w:val="lv-LV" w:eastAsia="lv-LV"/>
        </w:rPr>
        <w:t>u</w:t>
      </w:r>
      <w:r w:rsidRPr="0061710C">
        <w:rPr>
          <w:noProof/>
          <w:sz w:val="22"/>
          <w:szCs w:val="22"/>
          <w:lang w:val="lv-LV" w:eastAsia="lv-LV"/>
        </w:rPr>
        <w:t xml:space="preserve"> </w:t>
      </w:r>
      <w:r w:rsidR="00073767">
        <w:rPr>
          <w:noProof/>
          <w:sz w:val="22"/>
          <w:szCs w:val="22"/>
          <w:lang w:val="lv-LV" w:eastAsia="lv-LV"/>
        </w:rPr>
        <w:t>publiskās</w:t>
      </w:r>
      <w:r w:rsidRPr="0061710C">
        <w:rPr>
          <w:noProof/>
          <w:sz w:val="22"/>
          <w:szCs w:val="22"/>
          <w:lang w:val="lv-LV" w:eastAsia="lv-LV"/>
        </w:rPr>
        <w:t xml:space="preserve"> sarunu procedūras “</w:t>
      </w:r>
      <w:r w:rsidR="00073767" w:rsidRPr="00073767">
        <w:rPr>
          <w:i/>
          <w:iCs/>
          <w:noProof/>
          <w:sz w:val="22"/>
          <w:szCs w:val="22"/>
          <w:lang w:val="lv-LV" w:eastAsia="lv-LV"/>
        </w:rPr>
        <w:t>Dabasgāzes iegāde</w:t>
      </w:r>
      <w:r w:rsidR="002B3EE0">
        <w:rPr>
          <w:i/>
          <w:iCs/>
          <w:noProof/>
          <w:sz w:val="22"/>
          <w:szCs w:val="22"/>
          <w:lang w:val="lv-LV" w:eastAsia="lv-LV"/>
        </w:rPr>
        <w:t>”</w:t>
      </w:r>
      <w:r w:rsidRPr="0061710C">
        <w:rPr>
          <w:noProof/>
          <w:sz w:val="22"/>
          <w:szCs w:val="22"/>
          <w:lang w:val="lv-LV" w:eastAsia="lv-LV"/>
        </w:rPr>
        <w:t>, identifikācijas Nr.DŪ-202</w:t>
      </w:r>
      <w:r>
        <w:rPr>
          <w:noProof/>
          <w:sz w:val="22"/>
          <w:szCs w:val="22"/>
          <w:lang w:val="lv-LV" w:eastAsia="lv-LV"/>
        </w:rPr>
        <w:t>1</w:t>
      </w:r>
      <w:r w:rsidRPr="0061710C">
        <w:rPr>
          <w:noProof/>
          <w:sz w:val="22"/>
          <w:szCs w:val="22"/>
          <w:lang w:val="lv-LV" w:eastAsia="lv-LV"/>
        </w:rPr>
        <w:t>/</w:t>
      </w:r>
      <w:r w:rsidR="002B3EE0">
        <w:rPr>
          <w:noProof/>
          <w:sz w:val="22"/>
          <w:szCs w:val="22"/>
          <w:lang w:val="lv-LV" w:eastAsia="lv-LV"/>
        </w:rPr>
        <w:t>1</w:t>
      </w:r>
      <w:r w:rsidR="00073767">
        <w:rPr>
          <w:noProof/>
          <w:sz w:val="22"/>
          <w:szCs w:val="22"/>
          <w:lang w:val="lv-LV" w:eastAsia="lv-LV"/>
        </w:rPr>
        <w:t>6</w:t>
      </w:r>
      <w:r w:rsidRPr="0061710C">
        <w:rPr>
          <w:noProof/>
          <w:sz w:val="22"/>
          <w:szCs w:val="22"/>
          <w:lang w:val="lv-LV" w:eastAsia="lv-LV"/>
        </w:rPr>
        <w:t>, ietvaros</w:t>
      </w:r>
      <w:r w:rsidR="00F44016">
        <w:rPr>
          <w:noProof/>
          <w:sz w:val="22"/>
          <w:szCs w:val="22"/>
          <w:lang w:val="lv-LV" w:eastAsia="lv-LV"/>
        </w:rPr>
        <w:t>.</w:t>
      </w:r>
    </w:p>
    <w:p w14:paraId="7FFA9187" w14:textId="376313A8" w:rsidR="00D24BDD" w:rsidRPr="001E07F8" w:rsidRDefault="00D24BDD" w:rsidP="00AF703D">
      <w:pPr>
        <w:jc w:val="both"/>
        <w:rPr>
          <w:sz w:val="14"/>
          <w:szCs w:val="14"/>
          <w:lang w:val="lv-LV" w:eastAsia="lv-LV"/>
        </w:rPr>
      </w:pPr>
    </w:p>
    <w:tbl>
      <w:tblPr>
        <w:tblW w:w="10065" w:type="dxa"/>
        <w:jc w:val="center"/>
        <w:tblLayout w:type="fixed"/>
        <w:tblCellMar>
          <w:left w:w="10" w:type="dxa"/>
          <w:right w:w="10" w:type="dxa"/>
        </w:tblCellMar>
        <w:tblLook w:val="04A0" w:firstRow="1" w:lastRow="0" w:firstColumn="1" w:lastColumn="0" w:noHBand="0" w:noVBand="1"/>
      </w:tblPr>
      <w:tblGrid>
        <w:gridCol w:w="5103"/>
        <w:gridCol w:w="4962"/>
      </w:tblGrid>
      <w:tr w:rsidR="00482304" w:rsidRPr="003B7845" w14:paraId="65C2CE8A" w14:textId="77777777" w:rsidTr="00C0501B">
        <w:trPr>
          <w:trHeight w:val="412"/>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1130CBC" w14:textId="0FD7379E" w:rsidR="00482304" w:rsidRPr="003B7845" w:rsidRDefault="00581402" w:rsidP="002A439C">
            <w:pPr>
              <w:spacing w:after="160"/>
              <w:jc w:val="center"/>
              <w:rPr>
                <w:b/>
                <w:lang w:val="lv-LV"/>
              </w:rPr>
            </w:pPr>
            <w:r>
              <w:rPr>
                <w:b/>
                <w:lang w:val="lv-LV"/>
              </w:rPr>
              <w:t>Jautājums</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2DC3AA6" w14:textId="08251B69" w:rsidR="00482304" w:rsidRPr="003B7845" w:rsidRDefault="00C0501B" w:rsidP="002A439C">
            <w:pPr>
              <w:spacing w:line="480" w:lineRule="auto"/>
              <w:jc w:val="center"/>
              <w:rPr>
                <w:b/>
                <w:lang w:val="lv-LV"/>
              </w:rPr>
            </w:pPr>
            <w:r>
              <w:rPr>
                <w:b/>
                <w:lang w:val="lv-LV"/>
              </w:rPr>
              <w:t>A</w:t>
            </w:r>
            <w:r w:rsidR="00581402">
              <w:rPr>
                <w:b/>
                <w:lang w:val="lv-LV"/>
              </w:rPr>
              <w:t>tbilde</w:t>
            </w:r>
          </w:p>
        </w:tc>
      </w:tr>
      <w:tr w:rsidR="00E1164B" w:rsidRPr="009F418F" w14:paraId="6FB76ACA" w14:textId="77777777" w:rsidTr="007D02E3">
        <w:trPr>
          <w:trHeight w:val="2543"/>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AFD22" w14:textId="26554FC0" w:rsidR="008C35AE" w:rsidRDefault="008C35AE" w:rsidP="008C35AE">
            <w:pPr>
              <w:pStyle w:val="NormalWeb"/>
              <w:spacing w:before="0" w:beforeAutospacing="0" w:after="0" w:afterAutospacing="0"/>
              <w:jc w:val="both"/>
              <w:rPr>
                <w:i/>
                <w:iCs/>
                <w:sz w:val="22"/>
                <w:szCs w:val="22"/>
              </w:rPr>
            </w:pPr>
            <w:r>
              <w:rPr>
                <w:sz w:val="22"/>
                <w:szCs w:val="22"/>
              </w:rPr>
              <w:t xml:space="preserve">[..]  </w:t>
            </w:r>
            <w:r w:rsidRPr="00C96709">
              <w:rPr>
                <w:i/>
                <w:iCs/>
                <w:sz w:val="22"/>
                <w:szCs w:val="22"/>
              </w:rPr>
              <w:t>(</w:t>
            </w:r>
            <w:r>
              <w:rPr>
                <w:i/>
                <w:iCs/>
                <w:sz w:val="22"/>
                <w:szCs w:val="22"/>
              </w:rPr>
              <w:t>pretendenta nosaukums</w:t>
            </w:r>
            <w:r w:rsidR="001B32F7">
              <w:rPr>
                <w:i/>
                <w:iCs/>
                <w:sz w:val="22"/>
                <w:szCs w:val="22"/>
              </w:rPr>
              <w:t>, reģ.Nr., juridiskā adrese</w:t>
            </w:r>
            <w:r w:rsidRPr="00C96709">
              <w:rPr>
                <w:i/>
                <w:iCs/>
                <w:sz w:val="22"/>
                <w:szCs w:val="22"/>
              </w:rPr>
              <w:t>)</w:t>
            </w:r>
          </w:p>
          <w:p w14:paraId="3C0F5A15" w14:textId="77777777" w:rsidR="001B32F7" w:rsidRPr="001B32F7" w:rsidRDefault="001B32F7" w:rsidP="00767047">
            <w:pPr>
              <w:spacing w:line="276" w:lineRule="auto"/>
              <w:ind w:right="43"/>
              <w:jc w:val="both"/>
              <w:rPr>
                <w:rFonts w:ascii="Montserrat" w:eastAsia="Calibri" w:hAnsi="Montserrat"/>
                <w:sz w:val="18"/>
                <w:szCs w:val="18"/>
                <w:lang w:val="lv-LV"/>
              </w:rPr>
            </w:pPr>
            <w:r w:rsidRPr="001B32F7">
              <w:rPr>
                <w:rFonts w:ascii="Montserrat" w:eastAsia="Calibri" w:hAnsi="Montserrat"/>
                <w:sz w:val="18"/>
                <w:szCs w:val="18"/>
                <w:lang w:val="lv-LV"/>
              </w:rPr>
              <w:t xml:space="preserve">(turpmāk – Pretendents), iepazīstoties ar sabiedrības ar ierobežotu atbildību “Daugavpils ūdens” </w:t>
            </w:r>
            <w:r w:rsidRPr="001B32F7">
              <w:rPr>
                <w:rFonts w:ascii="Montserrat" w:eastAsia="Calibri" w:hAnsi="Montserrat"/>
                <w:bCs/>
                <w:sz w:val="18"/>
                <w:szCs w:val="18"/>
                <w:lang w:val="lv-LV"/>
              </w:rPr>
              <w:t>(</w:t>
            </w:r>
            <w:r w:rsidRPr="001B32F7">
              <w:rPr>
                <w:rFonts w:ascii="Montserrat" w:eastAsia="Calibri" w:hAnsi="Montserrat"/>
                <w:sz w:val="18"/>
                <w:szCs w:val="18"/>
                <w:lang w:val="lv-LV"/>
              </w:rPr>
              <w:t>turpmāk – Pasūtītājs) izsludināto publisko sarunu procedūru “Dabasgāzes iegāde” (ID Nr. 1.11-BS/2021-02) nolikumu (turpmāk – Nolikums), lūdz veikt zemāk norādītos Nolikuma grozījumus.</w:t>
            </w:r>
          </w:p>
          <w:p w14:paraId="33FFB54A" w14:textId="77777777" w:rsidR="001B32F7" w:rsidRPr="001B32F7" w:rsidRDefault="001B32F7" w:rsidP="000575C7">
            <w:pPr>
              <w:spacing w:line="276" w:lineRule="auto"/>
              <w:ind w:firstLine="317"/>
              <w:jc w:val="both"/>
              <w:rPr>
                <w:rFonts w:ascii="Montserrat" w:eastAsia="Calibri" w:hAnsi="Montserrat"/>
                <w:sz w:val="18"/>
                <w:szCs w:val="18"/>
                <w:lang w:val="lv-LV"/>
              </w:rPr>
            </w:pPr>
            <w:r w:rsidRPr="001B32F7">
              <w:rPr>
                <w:rFonts w:ascii="Montserrat" w:eastAsia="Calibri" w:hAnsi="Montserrat"/>
                <w:b/>
                <w:sz w:val="18"/>
                <w:szCs w:val="18"/>
                <w:lang w:val="lv-LV"/>
              </w:rPr>
              <w:t xml:space="preserve">[1] </w:t>
            </w:r>
            <w:r w:rsidRPr="001B32F7">
              <w:rPr>
                <w:rFonts w:ascii="Montserrat" w:eastAsia="Calibri" w:hAnsi="Montserrat"/>
                <w:sz w:val="18"/>
                <w:szCs w:val="18"/>
                <w:lang w:val="lv-LV"/>
              </w:rPr>
              <w:t xml:space="preserve">Nolikuma 4.11. punktā norādīts, ka piedāvājuma derīguma termiņš ir 45 (četrdesmit piecas) dienas no piedāvājumu iesniegšanas termiņa beigām, kas ir 2021. gada 28. jūnijs. Savukārt  Nolikuma 7.5.1. punkts paredz, ka plānotais dabasgāzes iegādāšanas termiņš ir no 2021. gada 1. augusta līdz 2022. gada 31. jūlijam. Ievērojot iepirkuma priekšmeta specifiku, dabasgāzes cenas regulāru un augstu svārstību dinamiku no Pretendenta neatkarīgu iemeslu dēļ pat dienu griezumā, kā arī ņemot vērā apstākli, ka Pretendents veic nepieciešamās darbības apstiprinātās cenas nofiksēšanai, lai garantētu tās nemainību visā iepirkuma līguma laikā (kas iepriekš minēto apstākļu dēļ veicamas iespējami ātrāk pēc piedāvājuma iesniegšanas), </w:t>
            </w:r>
            <w:r w:rsidRPr="001B32F7">
              <w:rPr>
                <w:rFonts w:ascii="Montserrat" w:eastAsia="Calibri" w:hAnsi="Montserrat"/>
                <w:b/>
                <w:sz w:val="18"/>
                <w:szCs w:val="18"/>
                <w:lang w:val="lv-LV"/>
              </w:rPr>
              <w:t>lūdzam noteikt īsāku piedāvājuma derīguma termiņu atbilstoši tam,  kāds objektīvi nepieciešams piedāvājumu izvērtēšanai un uzvarētāja paziņošanai (parasti ne vairāk kā 15 dienas).</w:t>
            </w:r>
            <w:r w:rsidRPr="001B32F7">
              <w:rPr>
                <w:rFonts w:ascii="Montserrat" w:eastAsia="Calibri" w:hAnsi="Montserrat"/>
                <w:sz w:val="18"/>
                <w:szCs w:val="18"/>
                <w:lang w:val="lv-LV"/>
              </w:rPr>
              <w:t xml:space="preserve"> 45 dienu derīguma termiņu fiksētas cenas piedāvājumam, ņemot vērā iepriekš minēto, nav iespējams nodrošināt. Turklāt, ņemot vērā paredzēto līguma slēgšanas laiku- šāda derīguma termiņa nodrošināšanas prasība ir nesamērīga un nav pamatota. </w:t>
            </w:r>
          </w:p>
          <w:p w14:paraId="73DAB3AB" w14:textId="77777777" w:rsidR="001B32F7" w:rsidRPr="001B32F7" w:rsidRDefault="001B32F7" w:rsidP="000575C7">
            <w:pPr>
              <w:spacing w:line="276" w:lineRule="auto"/>
              <w:ind w:firstLine="317"/>
              <w:jc w:val="both"/>
              <w:rPr>
                <w:rFonts w:ascii="Montserrat" w:eastAsia="Calibri" w:hAnsi="Montserrat"/>
                <w:sz w:val="18"/>
                <w:szCs w:val="18"/>
                <w:lang w:val="lv-LV"/>
              </w:rPr>
            </w:pPr>
            <w:r w:rsidRPr="001B32F7">
              <w:rPr>
                <w:rFonts w:ascii="Montserrat" w:eastAsia="Calibri" w:hAnsi="Montserrat"/>
                <w:sz w:val="18"/>
                <w:szCs w:val="18"/>
                <w:lang w:val="lv-LV"/>
              </w:rPr>
              <w:t xml:space="preserve">Vēršam uzmanību uz to, ka pat tad, ja dabasgāzes tirdzniecības uzsākšana nav nepieciešama no līguma noslēgšanas brīža, normatīvie akti brīvi ļauj pusēm noslēgt līgumu, kurā tiek paredzēts Pasūtītāja vajadzībām atbilstošs, pat vairākus mēnešus pēc līguma noslēgšanas iespējams dabasgāzes piegādes uzsākšanas laiks. Šādu darījumu slēgšana ir ierasta un dabasgāzes nozarē izplatīta prakse visu iepriekš minēto dabasgāzes tirgus un cenu veidošanās un svārstību specifikas dēļ. Papildus Pretendents informē Pasūtītāju, ka, atbilstoši Ministru kabineta 2017.gada 7.februāra noteikumu Nr.78 “Dabasgāzes tirdzniecības un lietošanas noteikumi” 55.punktu tirgotāja maiņa veicama līdz iepriekšējā mēneša piecpadsmitajam datumam: “ja lietotājs izvēlējies citu dabasgāzes tirgotāju, izvēlētā dabasgāzes tirgotāja pienākums ir līdz iepriekšējā mēneša piecpadsmitajam datumam pirms paredzētās dabasgāzes tirgotāja maiņas paziņot sadales sistēmas operatoram, ka noslēgts dabasgāzes tirdzniecības līgums”. Respektīvi, gadījumā, ja </w:t>
            </w:r>
            <w:r w:rsidRPr="001B32F7">
              <w:rPr>
                <w:rFonts w:ascii="Montserrat" w:eastAsia="Calibri" w:hAnsi="Montserrat"/>
                <w:sz w:val="18"/>
                <w:szCs w:val="18"/>
                <w:lang w:val="lv-LV"/>
              </w:rPr>
              <w:lastRenderedPageBreak/>
              <w:t>dabasgāzes piegāde ir plānota ar 2021.gada 1.augustu, Pasūtītājam jaunais līgums būtu jānoslēdz un par tirgotāja maiņu jāpaziņo līdz 2021.gada 15.jūlijam, ieskaitot. Ņemot vērā minēto, lūdzam precizēt Nolikuma 4.11. punktu, paredzot objektīvi nepieciešamo piedāvājuma derīguma termiņu.</w:t>
            </w:r>
          </w:p>
          <w:p w14:paraId="282B9485" w14:textId="77777777" w:rsidR="001B32F7" w:rsidRPr="001B32F7" w:rsidRDefault="001B32F7" w:rsidP="000575C7">
            <w:pPr>
              <w:spacing w:line="276" w:lineRule="auto"/>
              <w:ind w:firstLine="317"/>
              <w:contextualSpacing/>
              <w:jc w:val="both"/>
              <w:rPr>
                <w:rFonts w:ascii="Montserrat" w:eastAsia="Calibri" w:hAnsi="Montserrat"/>
                <w:sz w:val="18"/>
                <w:szCs w:val="18"/>
                <w:lang w:val="lv-LV"/>
              </w:rPr>
            </w:pPr>
            <w:r w:rsidRPr="001B32F7">
              <w:rPr>
                <w:rFonts w:ascii="Montserrat" w:eastAsia="Calibri" w:hAnsi="Montserrat"/>
                <w:b/>
                <w:sz w:val="18"/>
                <w:szCs w:val="18"/>
                <w:lang w:val="lv-LV"/>
              </w:rPr>
              <w:t>[2]</w:t>
            </w:r>
            <w:r w:rsidRPr="001B32F7">
              <w:rPr>
                <w:rFonts w:ascii="Montserrat" w:eastAsia="Calibri" w:hAnsi="Montserrat"/>
                <w:sz w:val="18"/>
                <w:szCs w:val="18"/>
                <w:lang w:val="lv-LV"/>
              </w:rPr>
              <w:t xml:space="preserve"> Ņemot vērā dabasgāzes cenas veidojošās komponentes un specifiku dabasgāzes tirgū, kad atsevišķas ar dabasgāzes piegādi saistītas komponentes tiek regulētas valsts līmenī ar Sabiedrisko pakalpojumu regulēšanas komisijas (turpmāk – SPRK) apstiprinātiem tarifiem un var mainīties ārpus tirgotāja kontroles un tikai dažas ir atkarīgas no tirgotāja, Pretendents lūdz Pasūtītāju Nolikuma 3. pielikumā </w:t>
            </w:r>
            <w:r w:rsidRPr="001B32F7">
              <w:rPr>
                <w:rFonts w:ascii="Montserrat" w:eastAsia="Calibri" w:hAnsi="Montserrat"/>
                <w:i/>
                <w:sz w:val="18"/>
                <w:szCs w:val="18"/>
                <w:lang w:val="lv-LV"/>
              </w:rPr>
              <w:t>Finanšu piedāvājuma vadlīnijas</w:t>
            </w:r>
            <w:r w:rsidRPr="001B32F7">
              <w:rPr>
                <w:rFonts w:ascii="Montserrat" w:eastAsia="Calibri" w:hAnsi="Montserrat"/>
                <w:sz w:val="18"/>
                <w:szCs w:val="18"/>
                <w:lang w:val="lv-LV"/>
              </w:rPr>
              <w:t xml:space="preserve"> un </w:t>
            </w:r>
            <w:r w:rsidRPr="001B32F7">
              <w:rPr>
                <w:rFonts w:ascii="Montserrat" w:eastAsia="Calibri" w:hAnsi="Montserrat"/>
                <w:i/>
                <w:sz w:val="18"/>
                <w:szCs w:val="18"/>
                <w:lang w:val="lv-LV"/>
              </w:rPr>
              <w:t>Finanšu piedāvājuma veidne</w:t>
            </w:r>
            <w:r w:rsidRPr="001B32F7">
              <w:rPr>
                <w:rFonts w:ascii="Montserrat" w:eastAsia="Calibri" w:hAnsi="Montserrat"/>
                <w:sz w:val="18"/>
                <w:szCs w:val="18"/>
                <w:lang w:val="lv-LV"/>
              </w:rPr>
              <w:t xml:space="preserve"> precīzi norādīt, ka dabasgāzes </w:t>
            </w:r>
            <w:r w:rsidRPr="001B32F7">
              <w:rPr>
                <w:rFonts w:ascii="Montserrat" w:eastAsia="Calibri" w:hAnsi="Montserrat"/>
                <w:sz w:val="18"/>
                <w:szCs w:val="18"/>
                <w:u w:val="single"/>
                <w:lang w:val="lv-LV"/>
              </w:rPr>
              <w:t>cenā ir jāiekļauj</w:t>
            </w:r>
            <w:r w:rsidRPr="001B32F7">
              <w:rPr>
                <w:rFonts w:ascii="Montserrat" w:eastAsia="Calibri" w:hAnsi="Montserrat"/>
                <w:sz w:val="18"/>
                <w:szCs w:val="18"/>
                <w:lang w:val="lv-LV"/>
              </w:rPr>
              <w:t xml:space="preserve"> dabasgāzes uzglabāšanas pakalpojums (ja tāds paredzēts) un maksa par pārvades sistēmas pakalpojumu – pārvades jaudu. Vēršam uzmanību uz to, ka dabasgāzes uzglabāšanas pakalpojuma un pārvades sistēmas pakalpojuma – pārvades jaudas izmaksas ir atkarīgas no pretendentu stratēģijas attiecībā uz dabasgāzes uzglabāšanu un jaudu rezervēšanu, attiecīgi katram pretendentam šīs izmaksas var mainīties. Turklāt ne visu gazificētajā objektā nepieciešamo dabasgāzes daudzumu nepieciešams uzglabāt (Inčukalna pazemes gāzes krātuvē uzglabāto dabasgāzi piegādā parasti tikai ziemas mēnešos) un tātad ne par visu dabasgāzes daudzumu, kuru Pasūtītājs līguma darbības laikā nopirks no tirgotāja, būtu jāmaksā uzglabāšanas maksa un attiecīgi arī pārvades jaudas maksājums. Tādēļ, lai piedāvājumi būtu salīdzināmi un objektīvi novērtējami, dabasgāzes </w:t>
            </w:r>
            <w:r w:rsidRPr="001B32F7">
              <w:rPr>
                <w:rFonts w:ascii="Montserrat" w:eastAsia="Calibri" w:hAnsi="Montserrat"/>
                <w:sz w:val="18"/>
                <w:szCs w:val="18"/>
                <w:u w:val="single"/>
                <w:lang w:val="lv-LV"/>
              </w:rPr>
              <w:t>cenā pretendenti neiekļauj</w:t>
            </w:r>
            <w:r w:rsidRPr="001B32F7">
              <w:rPr>
                <w:rFonts w:ascii="Montserrat" w:eastAsia="Calibri" w:hAnsi="Montserrat"/>
                <w:sz w:val="18"/>
                <w:szCs w:val="18"/>
                <w:lang w:val="lv-LV"/>
              </w:rPr>
              <w:t xml:space="preserve"> tikai tādas komponentes, kuras visiem pretendentiem ir vienādas – sadales sistēmas pakalpojuma izmaksas, maksu par pārvades sistēmas pakalpojumu – izejas punktu Latvijas lietotāju apgādei, PVN un akcīzes nodokli. Pārējās komponentes, kuras piegādātājiem varētu atšķirties vai kuras nav piemērojamas visam dabasgāzes daudzumam, ir jāieceno jau dabasgāzes cenā. </w:t>
            </w:r>
          </w:p>
          <w:p w14:paraId="2AED6D49" w14:textId="77777777" w:rsidR="001B32F7" w:rsidRPr="001B32F7" w:rsidRDefault="001B32F7" w:rsidP="000575C7">
            <w:pPr>
              <w:spacing w:line="276" w:lineRule="auto"/>
              <w:ind w:firstLine="317"/>
              <w:contextualSpacing/>
              <w:jc w:val="both"/>
              <w:rPr>
                <w:rFonts w:ascii="Montserrat" w:eastAsia="Calibri" w:hAnsi="Montserrat"/>
                <w:sz w:val="18"/>
                <w:szCs w:val="18"/>
                <w:lang w:val="lv-LV"/>
              </w:rPr>
            </w:pPr>
            <w:r w:rsidRPr="001B32F7">
              <w:rPr>
                <w:rFonts w:ascii="Montserrat" w:eastAsia="Calibri" w:hAnsi="Montserrat"/>
                <w:sz w:val="18"/>
                <w:szCs w:val="18"/>
                <w:lang w:val="lv-LV"/>
              </w:rPr>
              <w:t>Ievērojot minēto lūdzam:</w:t>
            </w:r>
          </w:p>
          <w:p w14:paraId="7186617C" w14:textId="77777777" w:rsidR="001B32F7" w:rsidRPr="001B32F7" w:rsidRDefault="001B32F7" w:rsidP="000575C7">
            <w:pPr>
              <w:spacing w:line="276" w:lineRule="auto"/>
              <w:ind w:firstLine="458"/>
              <w:contextualSpacing/>
              <w:jc w:val="both"/>
              <w:rPr>
                <w:rFonts w:ascii="Montserrat" w:eastAsia="Calibri" w:hAnsi="Montserrat"/>
                <w:sz w:val="18"/>
                <w:szCs w:val="18"/>
                <w:lang w:val="lv-LV"/>
              </w:rPr>
            </w:pPr>
            <w:r w:rsidRPr="001B32F7">
              <w:rPr>
                <w:rFonts w:ascii="Montserrat" w:eastAsia="Calibri" w:hAnsi="Montserrat"/>
                <w:sz w:val="18"/>
                <w:szCs w:val="18"/>
                <w:lang w:val="lv-LV"/>
              </w:rPr>
              <w:t>-</w:t>
            </w:r>
            <w:r w:rsidRPr="001B32F7">
              <w:rPr>
                <w:rFonts w:ascii="Montserrat" w:eastAsia="Calibri" w:hAnsi="Montserrat"/>
                <w:sz w:val="18"/>
                <w:szCs w:val="18"/>
                <w:lang w:val="lv-LV"/>
              </w:rPr>
              <w:tab/>
              <w:t xml:space="preserve">papildināt Nolikuma 3. pielikuma </w:t>
            </w:r>
            <w:r w:rsidRPr="001B32F7">
              <w:rPr>
                <w:rFonts w:ascii="Montserrat" w:eastAsia="Calibri" w:hAnsi="Montserrat"/>
                <w:i/>
                <w:sz w:val="18"/>
                <w:szCs w:val="18"/>
                <w:lang w:val="lv-LV"/>
              </w:rPr>
              <w:t xml:space="preserve">Finanšu piedāvājuma vadlīnijas </w:t>
            </w:r>
            <w:r w:rsidRPr="001B32F7">
              <w:rPr>
                <w:rFonts w:ascii="Montserrat" w:eastAsia="Calibri" w:hAnsi="Montserrat"/>
                <w:sz w:val="18"/>
                <w:szCs w:val="18"/>
                <w:lang w:val="lv-LV"/>
              </w:rPr>
              <w:t>3.punktu, izsakot to šādā redakcijā “Finanšu piedāvājuma cenā, ko veido izmaksu pozīcijas, tiek iekļauta dabasgāze, kā resurss, uzglabāšanas sistēmas pakalpojums, balansēšanas pakalpojums un pārvades sistēmas pakalpojums - pārvades jauda. Savukārt dabasgāzes cenā neiekļauj Pārvades sistēmas pakalpojumu-izejas punktu Latvijas lietotāju apgādei, Sadales sistēmas pakalpojumu, akcīzes nodokli un PVN”.</w:t>
            </w:r>
          </w:p>
          <w:p w14:paraId="4B56B554" w14:textId="77777777" w:rsidR="001B32F7" w:rsidRPr="001B32F7" w:rsidRDefault="001B32F7" w:rsidP="000575C7">
            <w:pPr>
              <w:spacing w:line="276" w:lineRule="auto"/>
              <w:ind w:firstLine="317"/>
              <w:jc w:val="both"/>
              <w:rPr>
                <w:rFonts w:ascii="Montserrat" w:eastAsia="Calibri" w:hAnsi="Montserrat"/>
                <w:sz w:val="18"/>
                <w:szCs w:val="18"/>
                <w:lang w:val="lv-LV"/>
              </w:rPr>
            </w:pPr>
            <w:r w:rsidRPr="001B32F7">
              <w:rPr>
                <w:rFonts w:ascii="Montserrat" w:eastAsia="Calibri" w:hAnsi="Montserrat"/>
                <w:b/>
                <w:sz w:val="18"/>
                <w:szCs w:val="18"/>
                <w:lang w:val="lv-LV"/>
              </w:rPr>
              <w:t>[3]</w:t>
            </w:r>
            <w:r w:rsidRPr="001B32F7">
              <w:rPr>
                <w:rFonts w:ascii="Montserrat" w:eastAsia="Calibri" w:hAnsi="Montserrat"/>
                <w:sz w:val="18"/>
                <w:szCs w:val="18"/>
                <w:lang w:val="lv-LV"/>
              </w:rPr>
              <w:t xml:space="preserve"> Civiltiesisku darījumu pamata būtība atbilstoši Civillikuma 1587. pantam ir vērsta uz abu līdzēju saistību labticīgi izpildīt apsolīto, tādējādi abām pusēm gūstot labumu no uzņemtās saistības un uzņemoties riskus, kas varētu būt saistīti ar saistības izpildes grūtībām. Tiesiskais un ekonomiskais līdzsvars, kā arī savstarpēji sabalansētas pušu tiesības un pienākumi ir civiltiesisku attiecību nodibināšanas būtisks pamatnosacījums.</w:t>
            </w:r>
          </w:p>
          <w:p w14:paraId="587724EA" w14:textId="77777777" w:rsidR="001B32F7" w:rsidRPr="001B32F7" w:rsidRDefault="001B32F7" w:rsidP="00D312E6">
            <w:pPr>
              <w:spacing w:line="276" w:lineRule="auto"/>
              <w:ind w:firstLine="317"/>
              <w:jc w:val="both"/>
              <w:rPr>
                <w:rFonts w:ascii="Montserrat" w:eastAsia="Calibri" w:hAnsi="Montserrat"/>
                <w:sz w:val="18"/>
                <w:szCs w:val="18"/>
                <w:lang w:val="lv-LV"/>
              </w:rPr>
            </w:pPr>
            <w:r w:rsidRPr="001B32F7">
              <w:rPr>
                <w:rFonts w:ascii="Montserrat" w:eastAsia="Calibri" w:hAnsi="Montserrat"/>
                <w:sz w:val="18"/>
                <w:szCs w:val="18"/>
                <w:lang w:val="lv-LV"/>
              </w:rPr>
              <w:t>Pamatojoties uz Nolikuma 7.5.2.punktu, Nolikuma 3. Pielikuma</w:t>
            </w:r>
            <w:r w:rsidRPr="001B32F7">
              <w:rPr>
                <w:rFonts w:ascii="Calibri" w:eastAsia="Calibri" w:hAnsi="Calibri"/>
                <w:lang w:val="lv-LV"/>
              </w:rPr>
              <w:t xml:space="preserve"> </w:t>
            </w:r>
            <w:r w:rsidRPr="001B32F7">
              <w:rPr>
                <w:rFonts w:ascii="Montserrat" w:eastAsia="Calibri" w:hAnsi="Montserrat"/>
                <w:sz w:val="18"/>
                <w:szCs w:val="18"/>
                <w:lang w:val="lv-LV"/>
              </w:rPr>
              <w:t xml:space="preserve">Finanšu piedāvājuma sagatavošanas vadlīnijas 6. punktu un Finanšu piedāvājuma veidnes otro daļu, Pasūtītājs ir noteicis, ka Pretendentam ir jāpiegādā dabasgāzi Pasūtītājam par fiksētu cenu visā līguma darbības laikā. Taču Nolikuma 7.5.3. punktā norādīts, ka: “Pasūtītājam ir tiesības vienpusēji atkāpties no līguma bez jebkāda veida līgumsodiem” un 7.5.5. punktā Pasūtītājs norādījis, </w:t>
            </w:r>
            <w:r w:rsidRPr="001B32F7">
              <w:rPr>
                <w:rFonts w:ascii="Montserrat" w:eastAsia="Calibri" w:hAnsi="Montserrat"/>
                <w:sz w:val="18"/>
                <w:szCs w:val="18"/>
                <w:lang w:val="lv-LV"/>
              </w:rPr>
              <w:lastRenderedPageBreak/>
              <w:t xml:space="preserve">ka: </w:t>
            </w:r>
            <w:r w:rsidRPr="001B32F7">
              <w:rPr>
                <w:rFonts w:ascii="Montserrat" w:eastAsia="Calibri" w:hAnsi="Montserrat"/>
                <w:i/>
                <w:iCs/>
                <w:sz w:val="18"/>
                <w:szCs w:val="18"/>
                <w:lang w:val="lv-LV"/>
              </w:rPr>
              <w:t>“Pasūtītājam ir tiesības vienpusēji atkāpties no līguma, par to rakstiski paziņojot otrai pusei vismaz 30 (trīsdesmit) dienas iepriekš. (…)”.</w:t>
            </w:r>
            <w:r w:rsidRPr="001B32F7">
              <w:rPr>
                <w:rFonts w:ascii="Montserrat" w:eastAsia="Calibri" w:hAnsi="Montserrat"/>
                <w:sz w:val="18"/>
                <w:szCs w:val="18"/>
                <w:lang w:val="lv-LV"/>
              </w:rPr>
              <w:t xml:space="preserve"> Vēlamies norādīt, ka otrai pusei šādas tiesības netiek paredzētas, kā rezultātā viens no līdzējiem tiek nostādīts būtiski labvēlīgākā situācijā, nekā otrs.</w:t>
            </w:r>
          </w:p>
          <w:p w14:paraId="6DD01732" w14:textId="77777777" w:rsidR="001B32F7" w:rsidRPr="001B32F7" w:rsidRDefault="001B32F7" w:rsidP="000575C7">
            <w:pPr>
              <w:spacing w:line="276" w:lineRule="auto"/>
              <w:ind w:firstLine="317"/>
              <w:jc w:val="both"/>
              <w:rPr>
                <w:rFonts w:ascii="Montserrat" w:eastAsia="Calibri" w:hAnsi="Montserrat"/>
                <w:sz w:val="18"/>
                <w:szCs w:val="18"/>
                <w:lang w:val="lv-LV"/>
              </w:rPr>
            </w:pPr>
            <w:r w:rsidRPr="001B32F7">
              <w:rPr>
                <w:rFonts w:ascii="Montserrat" w:eastAsia="Calibri" w:hAnsi="Montserrat"/>
                <w:sz w:val="18"/>
                <w:szCs w:val="18"/>
                <w:lang w:val="lv-LV"/>
              </w:rPr>
              <w:t>Vēršam uzmanību, ka, dabasgāzes tirgū cenu svārstības ir biežas (pat stundu griezumā) un ļoti augstas, jo dabasgāzes cenu ietekmē daudzi ārējie faktori, kas ne vienmēr ir prognozējami.  Aprēķinot un garantējot Pasūtītājam fiksētu dabasgāzes cenu iepirkuma priekšmetam visā iepirkuma nolikumā noteiktajā termiņā, Pretendents veic virkni darbību (tajā skaitā, nepieciešamais dabasgāzes apjoms tiek nopirkts, iesūknēts IPGK, darījums tiek hedžēts), lai nodrošinātu attiecīgā dabasgāzes daudzuma piegādes iespējamību par piedāvāto cenu visu periodu. Minēto apstākļu dēļ gadījumā, ja Pasūtītājs Iepirkuma līguma projektā paredzētā līguma izpildes termiņa laikā atkāpjas no noslēgtā līguma, Pretendentam viennozīmīgi tiek nodarīti zaudējumi. Ņemot vērā faktu, ka attiecīgais dabasgāzes daudzums jau ir nopirkts vai garantēts Pasūtītājam, kā arī veiktas citas darbības nemainīgas cenas nodrošināšanai, šo zaudējumu apmēru ir iespējams paredzēt jau līguma noslēgšanas brīdī un tas sastāda aptuveni 30% no līguma laikā plānotā, bet nenopirktā dabasgāzes apjoma vērtības. Arī dabasgāzes tirgu regulējošie normatīvie akti paredz regulējumu attiecībā uz līguma pirmstermiņa izbeigšanas maksu.</w:t>
            </w:r>
          </w:p>
          <w:p w14:paraId="6316D279" w14:textId="77777777" w:rsidR="001B32F7" w:rsidRPr="001B32F7" w:rsidRDefault="001B32F7" w:rsidP="000575C7">
            <w:pPr>
              <w:tabs>
                <w:tab w:val="left" w:pos="458"/>
              </w:tabs>
              <w:spacing w:line="276" w:lineRule="auto"/>
              <w:ind w:firstLine="317"/>
              <w:jc w:val="both"/>
              <w:rPr>
                <w:rFonts w:ascii="Montserrat" w:eastAsia="Calibri" w:hAnsi="Montserrat"/>
                <w:sz w:val="18"/>
                <w:szCs w:val="18"/>
                <w:lang w:val="lv-LV"/>
              </w:rPr>
            </w:pPr>
            <w:r w:rsidRPr="001B32F7">
              <w:rPr>
                <w:rFonts w:ascii="Montserrat" w:eastAsia="Calibri" w:hAnsi="Montserrat"/>
                <w:sz w:val="18"/>
                <w:szCs w:val="18"/>
                <w:lang w:val="lv-LV"/>
              </w:rPr>
              <w:tab/>
              <w:t>Ievērojot visu iepriekš minēto, lai nodrošinātu taisnīgu balansu starp Pasūtītāja un Pretendenta tiesībām un pienākumiem, lūdzam paredzēt līguma pirmstermiņa izbeigšanas maksu iepriekš minēto zaudējumu apmērā vai veikt Nolikumā sekojošus grozījumus:</w:t>
            </w:r>
          </w:p>
          <w:p w14:paraId="7D9548CA" w14:textId="77777777" w:rsidR="001B32F7" w:rsidRPr="001B32F7" w:rsidRDefault="001B32F7" w:rsidP="001B32F7">
            <w:pPr>
              <w:numPr>
                <w:ilvl w:val="0"/>
                <w:numId w:val="12"/>
              </w:numPr>
              <w:spacing w:line="276" w:lineRule="auto"/>
              <w:jc w:val="both"/>
              <w:rPr>
                <w:rFonts w:ascii="Montserrat" w:eastAsia="Calibri" w:hAnsi="Montserrat"/>
                <w:i/>
                <w:iCs/>
                <w:sz w:val="18"/>
                <w:szCs w:val="18"/>
                <w:lang w:val="lv-LV"/>
              </w:rPr>
            </w:pPr>
            <w:r w:rsidRPr="001B32F7">
              <w:rPr>
                <w:rFonts w:ascii="Montserrat" w:eastAsia="Calibri" w:hAnsi="Montserrat"/>
                <w:i/>
                <w:iCs/>
                <w:sz w:val="18"/>
                <w:szCs w:val="18"/>
                <w:lang w:val="lv-LV"/>
              </w:rPr>
              <w:t>Lūdzam svītrot Nolikuma 7.5.3. punktu “Pasūtītājam ir tiesības vienpusēji atkāpties no līguma bez jebkāda veida līgumsodiem”;</w:t>
            </w:r>
          </w:p>
          <w:p w14:paraId="63166F9B" w14:textId="77777777" w:rsidR="001B32F7" w:rsidRPr="001B32F7" w:rsidRDefault="001B32F7" w:rsidP="001B32F7">
            <w:pPr>
              <w:numPr>
                <w:ilvl w:val="0"/>
                <w:numId w:val="12"/>
              </w:numPr>
              <w:spacing w:line="276" w:lineRule="auto"/>
              <w:jc w:val="both"/>
              <w:rPr>
                <w:rFonts w:ascii="Montserrat" w:eastAsia="Calibri" w:hAnsi="Montserrat"/>
                <w:i/>
                <w:iCs/>
                <w:sz w:val="18"/>
                <w:szCs w:val="18"/>
                <w:lang w:val="lv-LV"/>
              </w:rPr>
            </w:pPr>
            <w:r w:rsidRPr="001B32F7">
              <w:rPr>
                <w:rFonts w:ascii="Montserrat" w:eastAsia="Calibri" w:hAnsi="Montserrat"/>
                <w:i/>
                <w:iCs/>
                <w:sz w:val="18"/>
                <w:szCs w:val="18"/>
                <w:lang w:val="lv-LV"/>
              </w:rPr>
              <w:t>Lūdzam papildināt Nolikuma 7.daļu ar jaunu punktu: “Pretendentam ir tiesības vienpusēji atkāpties no līguma, par to rakstiski paziņojot otrai pusei vismaz 30 (trīsdesmit) dienas iepriekš.”</w:t>
            </w:r>
          </w:p>
          <w:p w14:paraId="0BF84397" w14:textId="2C09CB6F" w:rsidR="00BC1A19" w:rsidRPr="00B10645" w:rsidRDefault="001B32F7" w:rsidP="00B10645">
            <w:pPr>
              <w:spacing w:line="276" w:lineRule="auto"/>
              <w:ind w:firstLine="317"/>
              <w:jc w:val="both"/>
              <w:rPr>
                <w:rFonts w:ascii="Montserrat" w:eastAsia="Calibri" w:hAnsi="Montserrat"/>
                <w:sz w:val="18"/>
                <w:szCs w:val="18"/>
                <w:lang w:val="lv-LV"/>
              </w:rPr>
            </w:pPr>
            <w:r w:rsidRPr="001B32F7">
              <w:rPr>
                <w:rFonts w:ascii="Montserrat" w:eastAsia="Calibri" w:hAnsi="Montserrat"/>
                <w:b/>
                <w:bCs/>
                <w:sz w:val="18"/>
                <w:szCs w:val="18"/>
                <w:lang w:val="lv-LV"/>
              </w:rPr>
              <w:t>[4]</w:t>
            </w:r>
            <w:r w:rsidRPr="001B32F7">
              <w:rPr>
                <w:rFonts w:ascii="Montserrat" w:eastAsia="Calibri" w:hAnsi="Montserrat"/>
                <w:sz w:val="18"/>
                <w:szCs w:val="18"/>
                <w:lang w:val="lv-LV"/>
              </w:rPr>
              <w:t xml:space="preserve"> Atbilstoši Publisko iepirkumu likuma (turpmāk - PIL) prasībām, iepirkuma līgums tiek slēgts par noteiktu iepirkuma priekšmetu – dabasgāzes piegādi Pasūtītāja objektiem to darbības nodrošināšanai nepieciešamajā apmērā. Lai nodrošinātu Nolikumā iekļauto prasību atbilstību PIL regulējumam, lūdzam precizēt Nolikuma 7.5.4. punktā un 1.pielikumā “Tehniskā specifikācija” paredzēto pamatu dabasgāzes iepirkuma apjoma izmaiņām, paredzot objektīvus un attaisnojamus apstākļus, kuru dēļ Pasūtītājam būtu tiesības, nepārkāpjot PIL prasības, samazināt vai palielināt dabasgāzes iepirkuma apjomus, piemēram, paredzot iespējas Pasūtītājam samazināt vai palielināt iepērkamo dabasgāzes daudzumu, ņemot vērā attiecīgā gazificētā objekta vajadzības atkarībā no gada sezonas un laika apstākļiem.</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DEEBA" w14:textId="1ECBAA99" w:rsidR="004D4B37" w:rsidRDefault="003F26D6" w:rsidP="000277AA">
            <w:pPr>
              <w:jc w:val="both"/>
              <w:rPr>
                <w:sz w:val="22"/>
                <w:szCs w:val="22"/>
                <w:lang w:val="lv-LV" w:eastAsia="zh-CN"/>
              </w:rPr>
            </w:pPr>
            <w:r w:rsidRPr="003F26D6">
              <w:rPr>
                <w:sz w:val="22"/>
                <w:szCs w:val="22"/>
                <w:lang w:val="lv-LV" w:eastAsia="zh-CN"/>
              </w:rPr>
              <w:lastRenderedPageBreak/>
              <w:t>Izskatot un izvērtējot ieinteresētā piegādātāja iesūtīto</w:t>
            </w:r>
            <w:r>
              <w:rPr>
                <w:sz w:val="22"/>
                <w:szCs w:val="22"/>
                <w:lang w:val="lv-LV" w:eastAsia="zh-CN"/>
              </w:rPr>
              <w:t xml:space="preserve"> informāciju, iepirkumu komisija sniedz sekojošas atbildes:</w:t>
            </w:r>
          </w:p>
          <w:p w14:paraId="065C6FA6" w14:textId="2333F265" w:rsidR="003F26D6" w:rsidRDefault="003F26D6" w:rsidP="000277AA">
            <w:pPr>
              <w:jc w:val="both"/>
              <w:rPr>
                <w:sz w:val="22"/>
                <w:szCs w:val="22"/>
                <w:lang w:val="lv-LV" w:eastAsia="zh-CN"/>
              </w:rPr>
            </w:pPr>
          </w:p>
          <w:p w14:paraId="1AE6E449" w14:textId="791F5313" w:rsidR="003F26D6" w:rsidRPr="002E3DD9" w:rsidRDefault="003F26D6" w:rsidP="000277AA">
            <w:pPr>
              <w:jc w:val="both"/>
              <w:rPr>
                <w:sz w:val="22"/>
                <w:szCs w:val="22"/>
                <w:lang w:val="lv-LV" w:eastAsia="zh-CN"/>
              </w:rPr>
            </w:pPr>
            <w:r w:rsidRPr="004E414E">
              <w:rPr>
                <w:b/>
                <w:bCs/>
                <w:sz w:val="22"/>
                <w:szCs w:val="22"/>
                <w:lang w:val="lv-LV" w:eastAsia="zh-CN"/>
              </w:rPr>
              <w:t>[1]</w:t>
            </w:r>
            <w:r>
              <w:rPr>
                <w:sz w:val="22"/>
                <w:szCs w:val="22"/>
                <w:lang w:val="lv-LV" w:eastAsia="zh-CN"/>
              </w:rPr>
              <w:t xml:space="preserve"> </w:t>
            </w:r>
            <w:r w:rsidR="005F5B0F" w:rsidRPr="005F5B0F">
              <w:rPr>
                <w:sz w:val="22"/>
                <w:szCs w:val="22"/>
                <w:lang w:val="lv-LV" w:eastAsia="zh-CN"/>
              </w:rPr>
              <w:t>Ievērojot iepirkuma priekšmeta specifiku</w:t>
            </w:r>
            <w:r w:rsidR="005F5B0F">
              <w:rPr>
                <w:sz w:val="22"/>
                <w:szCs w:val="22"/>
                <w:lang w:val="lv-LV" w:eastAsia="zh-CN"/>
              </w:rPr>
              <w:t xml:space="preserve">, kā arī to, ka iesniegto piedāvājumu vērtēšanas </w:t>
            </w:r>
            <w:r w:rsidR="00BE6B10">
              <w:rPr>
                <w:sz w:val="22"/>
                <w:szCs w:val="22"/>
                <w:lang w:val="lv-LV" w:eastAsia="zh-CN"/>
              </w:rPr>
              <w:t>gaitā</w:t>
            </w:r>
            <w:r w:rsidR="005F5B0F">
              <w:rPr>
                <w:sz w:val="22"/>
                <w:szCs w:val="22"/>
                <w:lang w:val="lv-LV" w:eastAsia="zh-CN"/>
              </w:rPr>
              <w:t xml:space="preserve"> var rasties </w:t>
            </w:r>
            <w:r w:rsidR="00157A3C">
              <w:rPr>
                <w:sz w:val="22"/>
                <w:szCs w:val="22"/>
                <w:lang w:val="lv-LV" w:eastAsia="zh-CN"/>
              </w:rPr>
              <w:t xml:space="preserve">objektīvas </w:t>
            </w:r>
            <w:r w:rsidR="005F5B0F">
              <w:rPr>
                <w:sz w:val="22"/>
                <w:szCs w:val="22"/>
                <w:lang w:val="lv-LV" w:eastAsia="zh-CN"/>
              </w:rPr>
              <w:t>situācijas</w:t>
            </w:r>
            <w:r w:rsidR="00157A3C">
              <w:rPr>
                <w:sz w:val="22"/>
                <w:szCs w:val="22"/>
                <w:lang w:val="lv-LV" w:eastAsia="zh-CN"/>
              </w:rPr>
              <w:t xml:space="preserve"> (piemēram, papildus informācijas pieprasīšana), kas var ietekmēt</w:t>
            </w:r>
            <w:r w:rsidR="00055B47">
              <w:rPr>
                <w:sz w:val="22"/>
                <w:szCs w:val="22"/>
                <w:lang w:val="lv-LV" w:eastAsia="zh-CN"/>
              </w:rPr>
              <w:t xml:space="preserve"> </w:t>
            </w:r>
            <w:r w:rsidR="00157A3C">
              <w:rPr>
                <w:sz w:val="22"/>
                <w:szCs w:val="22"/>
                <w:lang w:val="lv-LV" w:eastAsia="zh-CN"/>
              </w:rPr>
              <w:t>galīgā lēmuma</w:t>
            </w:r>
            <w:r w:rsidR="00BE6B10">
              <w:rPr>
                <w:sz w:val="22"/>
                <w:szCs w:val="22"/>
                <w:lang w:val="lv-LV" w:eastAsia="zh-CN"/>
              </w:rPr>
              <w:t xml:space="preserve"> par uzvarētāju</w:t>
            </w:r>
            <w:r w:rsidR="00157A3C">
              <w:rPr>
                <w:sz w:val="22"/>
                <w:szCs w:val="22"/>
                <w:lang w:val="lv-LV" w:eastAsia="zh-CN"/>
              </w:rPr>
              <w:t xml:space="preserve"> pieņemšanas laiku</w:t>
            </w:r>
            <w:r w:rsidR="00055B47">
              <w:rPr>
                <w:sz w:val="22"/>
                <w:szCs w:val="22"/>
                <w:lang w:val="lv-LV" w:eastAsia="zh-CN"/>
              </w:rPr>
              <w:t xml:space="preserve">, </w:t>
            </w:r>
            <w:r w:rsidR="00D5634A">
              <w:rPr>
                <w:sz w:val="22"/>
                <w:szCs w:val="22"/>
                <w:lang w:val="lv-LV" w:eastAsia="zh-CN"/>
              </w:rPr>
              <w:t>izvērtējot iespējamos</w:t>
            </w:r>
            <w:r w:rsidR="00A438C6">
              <w:rPr>
                <w:sz w:val="22"/>
                <w:szCs w:val="22"/>
                <w:lang w:val="lv-LV" w:eastAsia="zh-CN"/>
              </w:rPr>
              <w:t xml:space="preserve"> situāciju apstākļus </w:t>
            </w:r>
            <w:r w:rsidR="0051307D">
              <w:rPr>
                <w:sz w:val="22"/>
                <w:szCs w:val="22"/>
                <w:lang w:val="lv-LV" w:eastAsia="zh-CN"/>
              </w:rPr>
              <w:t>un objektīvi nepieciešamo piedāvājuma izvērtēšanas laiku</w:t>
            </w:r>
            <w:r w:rsidR="00A438C6">
              <w:rPr>
                <w:sz w:val="22"/>
                <w:szCs w:val="22"/>
                <w:lang w:val="lv-LV" w:eastAsia="zh-CN"/>
              </w:rPr>
              <w:t xml:space="preserve">, </w:t>
            </w:r>
            <w:r w:rsidR="00055B47">
              <w:rPr>
                <w:sz w:val="22"/>
                <w:szCs w:val="22"/>
                <w:lang w:val="lv-LV" w:eastAsia="zh-CN"/>
              </w:rPr>
              <w:t xml:space="preserve">tiek noteikts </w:t>
            </w:r>
            <w:r w:rsidR="00A438C6" w:rsidRPr="00A438C6">
              <w:rPr>
                <w:sz w:val="22"/>
                <w:szCs w:val="22"/>
                <w:lang w:val="lv-LV" w:eastAsia="zh-CN"/>
              </w:rPr>
              <w:t>piedāvājuma derīguma termiņš ir 45 (četrdesmit piecas) dienas no piedāvājumu iesniegšanas termiņa beigām</w:t>
            </w:r>
            <w:r w:rsidR="00A438C6">
              <w:rPr>
                <w:sz w:val="22"/>
                <w:szCs w:val="22"/>
                <w:lang w:val="lv-LV" w:eastAsia="zh-CN"/>
              </w:rPr>
              <w:t>.</w:t>
            </w:r>
          </w:p>
          <w:p w14:paraId="55468660" w14:textId="1B642910" w:rsidR="00CD3809" w:rsidRPr="00977426" w:rsidRDefault="00CD3809" w:rsidP="00CD3809">
            <w:pPr>
              <w:jc w:val="both"/>
              <w:rPr>
                <w:sz w:val="22"/>
                <w:szCs w:val="22"/>
                <w:lang w:val="lv-LV" w:eastAsia="zh-CN"/>
              </w:rPr>
            </w:pPr>
            <w:r w:rsidRPr="002E3DD9">
              <w:rPr>
                <w:sz w:val="22"/>
                <w:szCs w:val="22"/>
                <w:lang w:val="lv-LV" w:eastAsia="zh-CN"/>
              </w:rPr>
              <w:t>Ņemot vērā minēto,</w:t>
            </w:r>
            <w:r w:rsidR="002E3DD9" w:rsidRPr="002E3DD9">
              <w:rPr>
                <w:sz w:val="22"/>
                <w:szCs w:val="22"/>
                <w:lang w:val="lv-LV"/>
              </w:rPr>
              <w:t xml:space="preserve"> Nolikumā </w:t>
            </w:r>
            <w:r w:rsidR="002E3DD9" w:rsidRPr="002E3DD9">
              <w:rPr>
                <w:sz w:val="22"/>
                <w:szCs w:val="22"/>
                <w:lang w:val="lv-LV" w:eastAsia="zh-CN"/>
              </w:rPr>
              <w:t>norādītā piedāvājuma derīguma termiņa nodrošināšanas prasība ir uzs</w:t>
            </w:r>
            <w:r w:rsidR="002E3DD9">
              <w:rPr>
                <w:sz w:val="22"/>
                <w:szCs w:val="22"/>
                <w:lang w:val="lv-LV" w:eastAsia="zh-CN"/>
              </w:rPr>
              <w:t>k</w:t>
            </w:r>
            <w:r w:rsidR="002E3DD9" w:rsidRPr="002E3DD9">
              <w:rPr>
                <w:sz w:val="22"/>
                <w:szCs w:val="22"/>
                <w:lang w:val="lv-LV" w:eastAsia="zh-CN"/>
              </w:rPr>
              <w:t>atāma par pamatotu</w:t>
            </w:r>
            <w:r w:rsidR="002E3DD9">
              <w:rPr>
                <w:sz w:val="22"/>
                <w:szCs w:val="22"/>
                <w:lang w:val="lv-LV" w:eastAsia="zh-CN"/>
              </w:rPr>
              <w:t xml:space="preserve">, līdz ar to </w:t>
            </w:r>
            <w:r w:rsidR="00004763" w:rsidRPr="002E3DD9">
              <w:rPr>
                <w:sz w:val="22"/>
                <w:szCs w:val="22"/>
                <w:lang w:val="lv-LV" w:eastAsia="zh-CN"/>
              </w:rPr>
              <w:t xml:space="preserve">iepirkuma procedūras Nolikuma 4.11. punkts </w:t>
            </w:r>
            <w:r w:rsidRPr="002E3DD9">
              <w:rPr>
                <w:sz w:val="22"/>
                <w:szCs w:val="22"/>
                <w:lang w:val="lv-LV" w:eastAsia="zh-CN"/>
              </w:rPr>
              <w:t>netiek mainīts un  palie</w:t>
            </w:r>
            <w:r w:rsidRPr="00977426">
              <w:rPr>
                <w:sz w:val="22"/>
                <w:szCs w:val="22"/>
                <w:lang w:val="lv-LV" w:eastAsia="zh-CN"/>
              </w:rPr>
              <w:t>k apstiprinātajā redakcijā</w:t>
            </w:r>
            <w:r>
              <w:rPr>
                <w:sz w:val="22"/>
                <w:szCs w:val="22"/>
                <w:lang w:val="lv-LV" w:eastAsia="zh-CN"/>
              </w:rPr>
              <w:t>.</w:t>
            </w:r>
          </w:p>
          <w:p w14:paraId="3F5A8608" w14:textId="0ED4B222" w:rsidR="004E5BA7" w:rsidRDefault="004E5BA7" w:rsidP="007E07EE">
            <w:pPr>
              <w:jc w:val="both"/>
              <w:rPr>
                <w:sz w:val="22"/>
                <w:szCs w:val="22"/>
                <w:lang w:val="lv-LV" w:eastAsia="zh-CN"/>
              </w:rPr>
            </w:pPr>
          </w:p>
          <w:p w14:paraId="10C271EF" w14:textId="77777777" w:rsidR="004E5BA7" w:rsidRDefault="004E5BA7" w:rsidP="007E07EE">
            <w:pPr>
              <w:jc w:val="both"/>
              <w:rPr>
                <w:sz w:val="22"/>
                <w:szCs w:val="22"/>
                <w:lang w:val="lv-LV" w:eastAsia="zh-CN"/>
              </w:rPr>
            </w:pPr>
          </w:p>
          <w:p w14:paraId="05CF85CB" w14:textId="77777777" w:rsidR="0059643B" w:rsidRDefault="009447A0" w:rsidP="00B91C09">
            <w:pPr>
              <w:jc w:val="both"/>
              <w:rPr>
                <w:sz w:val="22"/>
                <w:szCs w:val="22"/>
                <w:lang w:val="lv-LV" w:eastAsia="zh-CN"/>
              </w:rPr>
            </w:pPr>
            <w:r w:rsidRPr="004E414E">
              <w:rPr>
                <w:b/>
                <w:bCs/>
                <w:sz w:val="22"/>
                <w:szCs w:val="22"/>
                <w:lang w:val="lv-LV" w:eastAsia="zh-CN"/>
              </w:rPr>
              <w:t>[2]</w:t>
            </w:r>
            <w:r>
              <w:rPr>
                <w:sz w:val="22"/>
                <w:szCs w:val="22"/>
                <w:lang w:val="lv-LV" w:eastAsia="zh-CN"/>
              </w:rPr>
              <w:t xml:space="preserve"> </w:t>
            </w:r>
            <w:r w:rsidR="00C62645" w:rsidRPr="00C62645">
              <w:rPr>
                <w:sz w:val="22"/>
                <w:szCs w:val="22"/>
                <w:lang w:val="lv-LV" w:eastAsia="zh-CN"/>
              </w:rPr>
              <w:t>Iepirkuma procedūras Nolikuma 3. pielikumā “</w:t>
            </w:r>
            <w:r w:rsidR="00C62645" w:rsidRPr="009447A0">
              <w:rPr>
                <w:i/>
                <w:iCs/>
                <w:sz w:val="22"/>
                <w:szCs w:val="22"/>
                <w:lang w:val="lv-LV" w:eastAsia="zh-CN"/>
              </w:rPr>
              <w:t>Finanšu piedāvājuma sagatavošanas vadlīnijas un piedāvājuma veidne</w:t>
            </w:r>
            <w:r w:rsidR="00C62645" w:rsidRPr="00C62645">
              <w:rPr>
                <w:sz w:val="22"/>
                <w:szCs w:val="22"/>
                <w:lang w:val="lv-LV" w:eastAsia="zh-CN"/>
              </w:rPr>
              <w:t xml:space="preserve">”  norādīts, ka iekļautām dabasgāzes cenām jābūt attiecīgā pakalpojuma sniegšanas pilnai vērtībai – dabasgāzes pilnai cenai, ieskaitot visas izmaksas, kas </w:t>
            </w:r>
            <w:r w:rsidR="0059643B">
              <w:rPr>
                <w:sz w:val="22"/>
                <w:szCs w:val="22"/>
                <w:lang w:val="lv-LV" w:eastAsia="zh-CN"/>
              </w:rPr>
              <w:t>P</w:t>
            </w:r>
            <w:r w:rsidR="00C62645" w:rsidRPr="00C62645">
              <w:rPr>
                <w:sz w:val="22"/>
                <w:szCs w:val="22"/>
                <w:lang w:val="lv-LV" w:eastAsia="zh-CN"/>
              </w:rPr>
              <w:t>retendentam varētu rasties, izpildot dabasgāzes tirdzniecības līguma nosacījumus.</w:t>
            </w:r>
            <w:r w:rsidR="00B91C09">
              <w:rPr>
                <w:sz w:val="22"/>
                <w:szCs w:val="22"/>
                <w:lang w:val="lv-LV" w:eastAsia="zh-CN"/>
              </w:rPr>
              <w:t xml:space="preserve"> </w:t>
            </w:r>
            <w:r w:rsidR="0059643B" w:rsidRPr="0059643B">
              <w:rPr>
                <w:sz w:val="22"/>
                <w:szCs w:val="22"/>
                <w:lang w:val="lv-LV" w:eastAsia="zh-CN"/>
              </w:rPr>
              <w:t>Finanšu piedāvājuma cenā, ko veido izmaksu pozīcijas, jābūt iekļautiem visiem plānotajiem izdevumiem par darbu, pakalpojumiem, tajā skaitā balansēšanas pakalpojumiem, izmaksas elektroenerģijas transportam, materiāliem un iekārtām, kas nepieciešami līguma izpildei pilnā apmērā un atbilstošā kvalitātē saskaņā ar Latvijas Republikas normatīvajiem aktiem, atbildīgo institūciju prasībām, iepirkuma līguma noteikumiem, tai skaitā tehnisko specifikāciju.</w:t>
            </w:r>
          </w:p>
          <w:p w14:paraId="36335BE9" w14:textId="678E26C2" w:rsidR="00B91C09" w:rsidRPr="00977426" w:rsidRDefault="00B91C09" w:rsidP="00B91C09">
            <w:pPr>
              <w:jc w:val="both"/>
              <w:rPr>
                <w:sz w:val="22"/>
                <w:szCs w:val="22"/>
                <w:lang w:val="lv-LV" w:eastAsia="zh-CN"/>
              </w:rPr>
            </w:pPr>
            <w:r>
              <w:rPr>
                <w:sz w:val="22"/>
                <w:szCs w:val="22"/>
                <w:lang w:val="lv-LV" w:eastAsia="zh-CN"/>
              </w:rPr>
              <w:t>Ņemot vērā minēto</w:t>
            </w:r>
            <w:r w:rsidR="00977426">
              <w:rPr>
                <w:sz w:val="22"/>
                <w:szCs w:val="22"/>
                <w:lang w:val="lv-LV" w:eastAsia="zh-CN"/>
              </w:rPr>
              <w:t>, “</w:t>
            </w:r>
            <w:r w:rsidR="00977426" w:rsidRPr="00977426">
              <w:rPr>
                <w:i/>
                <w:iCs/>
                <w:sz w:val="22"/>
                <w:szCs w:val="22"/>
                <w:lang w:val="lv-LV" w:eastAsia="zh-CN"/>
              </w:rPr>
              <w:t>Finanšu piedāvājuma sagatavošanas vadlīnij</w:t>
            </w:r>
            <w:r w:rsidR="00977426">
              <w:rPr>
                <w:i/>
                <w:iCs/>
                <w:sz w:val="22"/>
                <w:szCs w:val="22"/>
                <w:lang w:val="lv-LV" w:eastAsia="zh-CN"/>
              </w:rPr>
              <w:t xml:space="preserve">u” </w:t>
            </w:r>
            <w:r w:rsidR="00977426" w:rsidRPr="00977426">
              <w:rPr>
                <w:sz w:val="22"/>
                <w:szCs w:val="22"/>
                <w:lang w:val="lv-LV" w:eastAsia="zh-CN"/>
              </w:rPr>
              <w:t>3. punkts</w:t>
            </w:r>
            <w:r w:rsidR="00B975F3">
              <w:rPr>
                <w:sz w:val="22"/>
                <w:szCs w:val="22"/>
                <w:lang w:val="lv-LV" w:eastAsia="zh-CN"/>
              </w:rPr>
              <w:t xml:space="preserve"> netiek mainīts un </w:t>
            </w:r>
            <w:r w:rsidR="00977426" w:rsidRPr="00977426">
              <w:rPr>
                <w:sz w:val="22"/>
                <w:szCs w:val="22"/>
                <w:lang w:val="lv-LV" w:eastAsia="zh-CN"/>
              </w:rPr>
              <w:t xml:space="preserve"> paliek apstiprinātajā redakcijā</w:t>
            </w:r>
            <w:r w:rsidR="00B975F3">
              <w:rPr>
                <w:sz w:val="22"/>
                <w:szCs w:val="22"/>
                <w:lang w:val="lv-LV" w:eastAsia="zh-CN"/>
              </w:rPr>
              <w:t>.</w:t>
            </w:r>
          </w:p>
          <w:p w14:paraId="6E022583" w14:textId="67ABBC16" w:rsidR="00977426" w:rsidRDefault="00977426" w:rsidP="00B91C09">
            <w:pPr>
              <w:jc w:val="both"/>
              <w:rPr>
                <w:sz w:val="22"/>
                <w:szCs w:val="22"/>
                <w:lang w:val="lv-LV" w:eastAsia="zh-CN"/>
              </w:rPr>
            </w:pPr>
          </w:p>
          <w:p w14:paraId="425B87A3" w14:textId="4C6F446B" w:rsidR="00273545" w:rsidRDefault="00273545" w:rsidP="00B91C09">
            <w:pPr>
              <w:jc w:val="both"/>
              <w:rPr>
                <w:sz w:val="22"/>
                <w:szCs w:val="22"/>
                <w:lang w:val="lv-LV" w:eastAsia="zh-CN"/>
              </w:rPr>
            </w:pPr>
          </w:p>
          <w:p w14:paraId="4C442882" w14:textId="4E18E929" w:rsidR="0054103F" w:rsidRDefault="00A94E18" w:rsidP="00BA167D">
            <w:pPr>
              <w:jc w:val="both"/>
              <w:rPr>
                <w:sz w:val="22"/>
                <w:szCs w:val="22"/>
                <w:lang w:val="lv-LV" w:eastAsia="zh-CN"/>
              </w:rPr>
            </w:pPr>
            <w:r w:rsidRPr="003975C0">
              <w:rPr>
                <w:b/>
                <w:bCs/>
                <w:sz w:val="22"/>
                <w:szCs w:val="22"/>
                <w:lang w:val="lv-LV" w:eastAsia="zh-CN"/>
              </w:rPr>
              <w:t>[3]</w:t>
            </w:r>
            <w:r>
              <w:rPr>
                <w:sz w:val="22"/>
                <w:szCs w:val="22"/>
                <w:lang w:val="lv-LV" w:eastAsia="zh-CN"/>
              </w:rPr>
              <w:t xml:space="preserve"> </w:t>
            </w:r>
            <w:r w:rsidR="005E6B08">
              <w:rPr>
                <w:sz w:val="22"/>
                <w:szCs w:val="22"/>
                <w:lang w:val="lv-LV" w:eastAsia="zh-CN"/>
              </w:rPr>
              <w:t xml:space="preserve">Saskaņā ar Nolikuma </w:t>
            </w:r>
            <w:r w:rsidR="00BA167D">
              <w:rPr>
                <w:sz w:val="22"/>
                <w:szCs w:val="22"/>
                <w:lang w:val="lv-LV" w:eastAsia="zh-CN"/>
              </w:rPr>
              <w:t xml:space="preserve">7. punkta nosacījumiem, </w:t>
            </w:r>
            <w:r w:rsidR="00BA167D" w:rsidRPr="00BA167D">
              <w:rPr>
                <w:sz w:val="22"/>
                <w:szCs w:val="22"/>
                <w:lang w:val="lv-LV" w:eastAsia="zh-CN"/>
              </w:rPr>
              <w:t>Līgums tiks slēgts saskaņā ar tā projektu, kuru pievienos Pretendents un tiks saskaņots ar Pasūtītāju</w:t>
            </w:r>
            <w:r w:rsidR="00BA167D">
              <w:rPr>
                <w:sz w:val="22"/>
                <w:szCs w:val="22"/>
                <w:lang w:val="lv-LV" w:eastAsia="zh-CN"/>
              </w:rPr>
              <w:t xml:space="preserve">, </w:t>
            </w:r>
            <w:r w:rsidR="00BA167D" w:rsidRPr="00BA167D">
              <w:rPr>
                <w:sz w:val="22"/>
                <w:szCs w:val="22"/>
                <w:lang w:val="lv-LV" w:eastAsia="zh-CN"/>
              </w:rPr>
              <w:t xml:space="preserve"> Līguma projektā jābūt iekļautiem obligātiem nosacījumiem atbilstoši nolikuma un tehniskās specifikācijas prasībām</w:t>
            </w:r>
            <w:r w:rsidR="00C33ED9">
              <w:rPr>
                <w:sz w:val="22"/>
                <w:szCs w:val="22"/>
                <w:lang w:val="lv-LV" w:eastAsia="zh-CN"/>
              </w:rPr>
              <w:t>.</w:t>
            </w:r>
            <w:r w:rsidR="00076B73">
              <w:rPr>
                <w:sz w:val="22"/>
                <w:szCs w:val="22"/>
                <w:lang w:val="lv-LV" w:eastAsia="zh-CN"/>
              </w:rPr>
              <w:t xml:space="preserve"> </w:t>
            </w:r>
            <w:r w:rsidR="00C33ED9">
              <w:rPr>
                <w:sz w:val="22"/>
                <w:szCs w:val="22"/>
                <w:lang w:val="lv-LV" w:eastAsia="zh-CN"/>
              </w:rPr>
              <w:t>I</w:t>
            </w:r>
            <w:r w:rsidR="00070C9F">
              <w:rPr>
                <w:sz w:val="22"/>
                <w:szCs w:val="22"/>
                <w:lang w:val="lv-LV" w:eastAsia="zh-CN"/>
              </w:rPr>
              <w:t xml:space="preserve">esniedzot Līguma projektu Pretendentam ir tiesības </w:t>
            </w:r>
            <w:r w:rsidR="004E414E">
              <w:rPr>
                <w:sz w:val="22"/>
                <w:szCs w:val="22"/>
                <w:lang w:val="lv-LV" w:eastAsia="zh-CN"/>
              </w:rPr>
              <w:t xml:space="preserve">piedāvāt un </w:t>
            </w:r>
            <w:r w:rsidR="00070C9F">
              <w:rPr>
                <w:sz w:val="22"/>
                <w:szCs w:val="22"/>
                <w:lang w:val="lv-LV" w:eastAsia="zh-CN"/>
              </w:rPr>
              <w:t xml:space="preserve">iekļaut </w:t>
            </w:r>
            <w:r w:rsidR="0054103F">
              <w:rPr>
                <w:sz w:val="22"/>
                <w:szCs w:val="22"/>
                <w:lang w:val="lv-LV" w:eastAsia="zh-CN"/>
              </w:rPr>
              <w:t xml:space="preserve">savus </w:t>
            </w:r>
            <w:r w:rsidR="00070C9F">
              <w:rPr>
                <w:sz w:val="22"/>
                <w:szCs w:val="22"/>
                <w:lang w:val="lv-LV" w:eastAsia="zh-CN"/>
              </w:rPr>
              <w:t>nosacījumus</w:t>
            </w:r>
            <w:r w:rsidR="00125F07">
              <w:rPr>
                <w:sz w:val="22"/>
                <w:szCs w:val="22"/>
                <w:lang w:val="lv-LV" w:eastAsia="zh-CN"/>
              </w:rPr>
              <w:t>.</w:t>
            </w:r>
            <w:r w:rsidR="000B584F">
              <w:rPr>
                <w:sz w:val="22"/>
                <w:szCs w:val="22"/>
                <w:lang w:val="lv-LV" w:eastAsia="zh-CN"/>
              </w:rPr>
              <w:t xml:space="preserve"> </w:t>
            </w:r>
            <w:r w:rsidR="00125F07" w:rsidRPr="00125F07">
              <w:rPr>
                <w:sz w:val="22"/>
                <w:szCs w:val="22"/>
                <w:lang w:val="lv-LV" w:eastAsia="zh-CN"/>
              </w:rPr>
              <w:t>Pasūtītājam ir tiesības ierosināt līguma projekta grozījumus.</w:t>
            </w:r>
            <w:r w:rsidR="0054103F">
              <w:rPr>
                <w:sz w:val="22"/>
                <w:szCs w:val="22"/>
                <w:lang w:val="lv-LV" w:eastAsia="zh-CN"/>
              </w:rPr>
              <w:t xml:space="preserve"> </w:t>
            </w:r>
          </w:p>
          <w:p w14:paraId="20FFD91A" w14:textId="7089F8D3" w:rsidR="00BA167D" w:rsidRDefault="00633712" w:rsidP="00BA167D">
            <w:pPr>
              <w:jc w:val="both"/>
              <w:rPr>
                <w:sz w:val="22"/>
                <w:szCs w:val="22"/>
                <w:lang w:val="lv-LV" w:eastAsia="zh-CN"/>
              </w:rPr>
            </w:pPr>
            <w:r>
              <w:rPr>
                <w:sz w:val="22"/>
                <w:szCs w:val="22"/>
                <w:lang w:val="lv-LV" w:eastAsia="zh-CN"/>
              </w:rPr>
              <w:t>Nolikuma 10.6. punkta nosacījumi nosaka,</w:t>
            </w:r>
            <w:r w:rsidR="000440AF">
              <w:rPr>
                <w:sz w:val="22"/>
                <w:szCs w:val="22"/>
                <w:lang w:val="lv-LV" w:eastAsia="zh-CN"/>
              </w:rPr>
              <w:t xml:space="preserve"> </w:t>
            </w:r>
            <w:r>
              <w:rPr>
                <w:sz w:val="22"/>
                <w:szCs w:val="22"/>
                <w:lang w:val="lv-LV" w:eastAsia="zh-CN"/>
              </w:rPr>
              <w:t xml:space="preserve">ka </w:t>
            </w:r>
            <w:r w:rsidRPr="00633712">
              <w:rPr>
                <w:sz w:val="22"/>
                <w:szCs w:val="22"/>
                <w:lang w:val="lv-LV" w:eastAsia="zh-CN"/>
              </w:rPr>
              <w:t>Pasūtītājs ir tiesīgs pārtraukt iepirkumu un neslēgt līgumu, ja tam ir objektīvs pamatojums, t.sk. gadījumā, ja Pasūtītājs uzskata, ka iesniegta līguma projekta nosacījumi var apdraudēt Pasūtītāja likumiskās intereses.</w:t>
            </w:r>
          </w:p>
          <w:p w14:paraId="7D667AF8" w14:textId="18D5BE3B" w:rsidR="00633712" w:rsidRDefault="007D45CF" w:rsidP="00BA167D">
            <w:pPr>
              <w:jc w:val="both"/>
              <w:rPr>
                <w:sz w:val="22"/>
                <w:szCs w:val="22"/>
                <w:lang w:val="lv-LV" w:eastAsia="zh-CN"/>
              </w:rPr>
            </w:pPr>
            <w:r>
              <w:rPr>
                <w:sz w:val="22"/>
                <w:szCs w:val="22"/>
                <w:lang w:val="lv-LV" w:eastAsia="zh-CN"/>
              </w:rPr>
              <w:t>Ņemot vērā minēto, grozījumi Nolikuma 7. punktā netiek veikti un paliek apstiprinātajā redakcijā.</w:t>
            </w:r>
          </w:p>
          <w:p w14:paraId="1A79016D" w14:textId="21006074" w:rsidR="00BA167D" w:rsidRDefault="00BA167D" w:rsidP="00B91C09">
            <w:pPr>
              <w:jc w:val="both"/>
              <w:rPr>
                <w:sz w:val="22"/>
                <w:szCs w:val="22"/>
                <w:lang w:val="lv-LV" w:eastAsia="zh-CN"/>
              </w:rPr>
            </w:pPr>
          </w:p>
          <w:p w14:paraId="268117A3" w14:textId="4174855B" w:rsidR="000B1AB6" w:rsidRDefault="000B1AB6" w:rsidP="00B91C09">
            <w:pPr>
              <w:jc w:val="both"/>
              <w:rPr>
                <w:sz w:val="22"/>
                <w:szCs w:val="22"/>
                <w:lang w:val="lv-LV" w:eastAsia="zh-CN"/>
              </w:rPr>
            </w:pPr>
          </w:p>
          <w:p w14:paraId="22C4AC29" w14:textId="4106A5DE" w:rsidR="00BA167D" w:rsidRDefault="007A43BD" w:rsidP="00B91C09">
            <w:pPr>
              <w:jc w:val="both"/>
              <w:rPr>
                <w:sz w:val="22"/>
                <w:szCs w:val="22"/>
                <w:lang w:val="lv-LV" w:eastAsia="zh-CN"/>
              </w:rPr>
            </w:pPr>
            <w:r w:rsidRPr="009F2336">
              <w:rPr>
                <w:b/>
                <w:bCs/>
                <w:sz w:val="22"/>
                <w:szCs w:val="22"/>
                <w:lang w:val="lv-LV" w:eastAsia="zh-CN"/>
              </w:rPr>
              <w:t>[4]</w:t>
            </w:r>
            <w:r>
              <w:rPr>
                <w:sz w:val="22"/>
                <w:szCs w:val="22"/>
                <w:lang w:val="lv-LV" w:eastAsia="zh-CN"/>
              </w:rPr>
              <w:t xml:space="preserve"> </w:t>
            </w:r>
            <w:r w:rsidR="00321B83">
              <w:rPr>
                <w:sz w:val="22"/>
                <w:szCs w:val="22"/>
                <w:lang w:val="lv-LV" w:eastAsia="zh-CN"/>
              </w:rPr>
              <w:t>Pasūtītājs ir sabiedrisko pakalpojumu sniedzējs, kas veic iepirkumus saskaņā ar Sabiedrisko pakalpojumu</w:t>
            </w:r>
            <w:r w:rsidR="00321B83" w:rsidRPr="00321B83">
              <w:rPr>
                <w:lang w:val="lv-LV"/>
              </w:rPr>
              <w:t xml:space="preserve"> </w:t>
            </w:r>
            <w:r w:rsidR="00321B83" w:rsidRPr="00321B83">
              <w:rPr>
                <w:sz w:val="22"/>
                <w:szCs w:val="22"/>
                <w:lang w:val="lv-LV" w:eastAsia="zh-CN"/>
              </w:rPr>
              <w:t>sniedzēju iepirkumu likum</w:t>
            </w:r>
            <w:r w:rsidR="00321B83">
              <w:rPr>
                <w:sz w:val="22"/>
                <w:szCs w:val="22"/>
                <w:lang w:val="lv-LV" w:eastAsia="zh-CN"/>
              </w:rPr>
              <w:t>u</w:t>
            </w:r>
            <w:r w:rsidR="007B47C6">
              <w:rPr>
                <w:sz w:val="22"/>
                <w:szCs w:val="22"/>
                <w:lang w:val="lv-LV" w:eastAsia="zh-CN"/>
              </w:rPr>
              <w:t xml:space="preserve"> (SPSIL)</w:t>
            </w:r>
            <w:r w:rsidR="000B1AB6">
              <w:rPr>
                <w:sz w:val="22"/>
                <w:szCs w:val="22"/>
                <w:lang w:val="lv-LV" w:eastAsia="zh-CN"/>
              </w:rPr>
              <w:t xml:space="preserve">, </w:t>
            </w:r>
            <w:r w:rsidR="00A6796F">
              <w:rPr>
                <w:sz w:val="22"/>
                <w:szCs w:val="22"/>
                <w:lang w:val="lv-LV" w:eastAsia="zh-CN"/>
              </w:rPr>
              <w:t xml:space="preserve">Iepirkumu uzraudzības biroja </w:t>
            </w:r>
            <w:r w:rsidR="00801783">
              <w:rPr>
                <w:sz w:val="22"/>
                <w:szCs w:val="22"/>
                <w:lang w:val="lv-LV" w:eastAsia="zh-CN"/>
              </w:rPr>
              <w:t xml:space="preserve">izstrādātajām </w:t>
            </w:r>
            <w:r w:rsidR="00A6796F">
              <w:rPr>
                <w:sz w:val="22"/>
                <w:szCs w:val="22"/>
                <w:lang w:val="lv-LV" w:eastAsia="zh-CN"/>
              </w:rPr>
              <w:t>i</w:t>
            </w:r>
            <w:r w:rsidR="00A6796F" w:rsidRPr="00A6796F">
              <w:rPr>
                <w:sz w:val="22"/>
                <w:szCs w:val="22"/>
                <w:lang w:val="lv-LV" w:eastAsia="zh-CN"/>
              </w:rPr>
              <w:t>epirkumu vadlīnij</w:t>
            </w:r>
            <w:r w:rsidR="00A6796F">
              <w:rPr>
                <w:sz w:val="22"/>
                <w:szCs w:val="22"/>
                <w:lang w:val="lv-LV" w:eastAsia="zh-CN"/>
              </w:rPr>
              <w:t>ām</w:t>
            </w:r>
            <w:r w:rsidR="00A6796F" w:rsidRPr="00A6796F">
              <w:rPr>
                <w:sz w:val="22"/>
                <w:szCs w:val="22"/>
                <w:lang w:val="lv-LV" w:eastAsia="zh-CN"/>
              </w:rPr>
              <w:t xml:space="preserve"> sabiedrisko pakalpojumu sniedzējiem</w:t>
            </w:r>
            <w:r w:rsidR="00801783">
              <w:rPr>
                <w:sz w:val="22"/>
                <w:szCs w:val="22"/>
                <w:lang w:val="lv-LV" w:eastAsia="zh-CN"/>
              </w:rPr>
              <w:t>, kā arī piemērojot iekšējos normatīvos aktus</w:t>
            </w:r>
            <w:r w:rsidR="00B3441C">
              <w:rPr>
                <w:sz w:val="22"/>
                <w:szCs w:val="22"/>
                <w:lang w:val="lv-LV" w:eastAsia="zh-CN"/>
              </w:rPr>
              <w:t xml:space="preserve">, kas nav pretrunā ar </w:t>
            </w:r>
            <w:r w:rsidR="004705C0">
              <w:rPr>
                <w:sz w:val="22"/>
                <w:szCs w:val="22"/>
                <w:lang w:val="lv-LV" w:eastAsia="zh-CN"/>
              </w:rPr>
              <w:t>Latvijas Repu</w:t>
            </w:r>
            <w:r w:rsidR="00655EFF">
              <w:rPr>
                <w:sz w:val="22"/>
                <w:szCs w:val="22"/>
                <w:lang w:val="lv-LV" w:eastAsia="zh-CN"/>
              </w:rPr>
              <w:t xml:space="preserve">blikas </w:t>
            </w:r>
            <w:r w:rsidR="000A6456" w:rsidRPr="000A6456">
              <w:rPr>
                <w:sz w:val="22"/>
                <w:szCs w:val="22"/>
                <w:lang w:val="lv-LV" w:eastAsia="zh-CN"/>
              </w:rPr>
              <w:t>sabiedrisko pakalpojumu sniedzēj</w:t>
            </w:r>
            <w:r w:rsidR="000A6456">
              <w:rPr>
                <w:sz w:val="22"/>
                <w:szCs w:val="22"/>
                <w:lang w:val="lv-LV" w:eastAsia="zh-CN"/>
              </w:rPr>
              <w:t xml:space="preserve">u </w:t>
            </w:r>
            <w:r w:rsidR="00A12D05" w:rsidRPr="00A12D05">
              <w:rPr>
                <w:sz w:val="22"/>
                <w:szCs w:val="22"/>
                <w:lang w:val="lv-LV" w:eastAsia="zh-CN"/>
              </w:rPr>
              <w:t>iepirkumus regulējošiem normatīvajiem aktiem</w:t>
            </w:r>
            <w:r w:rsidR="000A6456">
              <w:rPr>
                <w:sz w:val="22"/>
                <w:szCs w:val="22"/>
                <w:lang w:val="lv-LV" w:eastAsia="zh-CN"/>
              </w:rPr>
              <w:t>.</w:t>
            </w:r>
          </w:p>
          <w:p w14:paraId="613F4A8C" w14:textId="541BD006" w:rsidR="00273545" w:rsidRDefault="00273545" w:rsidP="00B91C09">
            <w:pPr>
              <w:jc w:val="both"/>
              <w:rPr>
                <w:sz w:val="22"/>
                <w:szCs w:val="22"/>
                <w:lang w:val="lv-LV" w:eastAsia="zh-CN"/>
              </w:rPr>
            </w:pPr>
          </w:p>
          <w:p w14:paraId="4A0856FD" w14:textId="3CFDF576" w:rsidR="00273545" w:rsidRDefault="00273545" w:rsidP="00B91C09">
            <w:pPr>
              <w:jc w:val="both"/>
              <w:rPr>
                <w:sz w:val="22"/>
                <w:szCs w:val="22"/>
                <w:lang w:val="lv-LV" w:eastAsia="zh-CN"/>
              </w:rPr>
            </w:pPr>
          </w:p>
          <w:p w14:paraId="75BE89A1" w14:textId="77777777" w:rsidR="00273545" w:rsidRDefault="00273545" w:rsidP="00B91C09">
            <w:pPr>
              <w:jc w:val="both"/>
              <w:rPr>
                <w:sz w:val="22"/>
                <w:szCs w:val="22"/>
                <w:lang w:val="lv-LV" w:eastAsia="zh-CN"/>
              </w:rPr>
            </w:pPr>
          </w:p>
          <w:p w14:paraId="14C1F3EC" w14:textId="73CAAF7D" w:rsidR="00977426" w:rsidRPr="00B7119B" w:rsidRDefault="00977426" w:rsidP="00977426">
            <w:pPr>
              <w:jc w:val="both"/>
              <w:rPr>
                <w:sz w:val="22"/>
                <w:szCs w:val="22"/>
                <w:lang w:val="lv-LV" w:eastAsia="zh-CN"/>
              </w:rPr>
            </w:pPr>
          </w:p>
        </w:tc>
      </w:tr>
    </w:tbl>
    <w:p w14:paraId="3F1C96D7" w14:textId="77777777" w:rsidR="00F44016" w:rsidRPr="00B7119B" w:rsidRDefault="00F44016" w:rsidP="00A04605">
      <w:pPr>
        <w:jc w:val="both"/>
        <w:rPr>
          <w:lang w:val="lv-LV"/>
        </w:rPr>
      </w:pPr>
    </w:p>
    <w:p w14:paraId="7AC7C526" w14:textId="73E775A1" w:rsidR="00A04605" w:rsidRPr="003B7845" w:rsidRDefault="00A04605" w:rsidP="00A04605">
      <w:pPr>
        <w:pStyle w:val="Standard"/>
        <w:rPr>
          <w:sz w:val="22"/>
          <w:szCs w:val="22"/>
          <w:lang w:val="lv-LV"/>
        </w:rPr>
      </w:pPr>
      <w:r w:rsidRPr="003B7845">
        <w:rPr>
          <w:sz w:val="22"/>
          <w:szCs w:val="22"/>
          <w:lang w:val="lv-LV"/>
        </w:rPr>
        <w:t>Ar cieņu</w:t>
      </w:r>
      <w:r w:rsidR="00BF23AE" w:rsidRPr="003B7845">
        <w:rPr>
          <w:sz w:val="22"/>
          <w:szCs w:val="22"/>
          <w:lang w:val="lv-LV"/>
        </w:rPr>
        <w:t xml:space="preserve">    </w:t>
      </w:r>
    </w:p>
    <w:p w14:paraId="2DACEAA3" w14:textId="647DB065" w:rsidR="004A005A" w:rsidRPr="003B7845" w:rsidRDefault="00A04605" w:rsidP="00A04605">
      <w:pPr>
        <w:pStyle w:val="Standard"/>
        <w:rPr>
          <w:sz w:val="22"/>
          <w:szCs w:val="22"/>
          <w:lang w:val="lv-LV"/>
        </w:rPr>
      </w:pPr>
      <w:r w:rsidRPr="003B7845">
        <w:rPr>
          <w:sz w:val="22"/>
          <w:szCs w:val="22"/>
          <w:lang w:val="lv-LV"/>
        </w:rPr>
        <w:t xml:space="preserve">Iepirkuma komisijas priekšsēdētāja                            </w:t>
      </w:r>
      <w:r w:rsidR="00151E9B" w:rsidRPr="003B7845">
        <w:rPr>
          <w:sz w:val="22"/>
          <w:szCs w:val="22"/>
          <w:lang w:val="lv-LV"/>
        </w:rPr>
        <w:t xml:space="preserve">       </w:t>
      </w:r>
      <w:r w:rsidR="00D65B7A" w:rsidRPr="003B7845">
        <w:rPr>
          <w:sz w:val="22"/>
          <w:szCs w:val="22"/>
          <w:lang w:val="lv-LV"/>
        </w:rPr>
        <w:t xml:space="preserve">      </w:t>
      </w:r>
      <w:r w:rsidR="00151E9B" w:rsidRPr="003B7845">
        <w:rPr>
          <w:sz w:val="22"/>
          <w:szCs w:val="22"/>
          <w:lang w:val="lv-LV"/>
        </w:rPr>
        <w:t xml:space="preserve">          </w:t>
      </w:r>
      <w:r w:rsidR="00C57688" w:rsidRPr="003B7845">
        <w:rPr>
          <w:sz w:val="22"/>
          <w:szCs w:val="22"/>
          <w:lang w:val="lv-LV"/>
        </w:rPr>
        <w:t xml:space="preserve"> </w:t>
      </w:r>
      <w:r w:rsidR="00BF23AE" w:rsidRPr="003B7845">
        <w:rPr>
          <w:sz w:val="22"/>
          <w:szCs w:val="22"/>
          <w:lang w:val="lv-LV"/>
        </w:rPr>
        <w:t xml:space="preserve">   </w:t>
      </w:r>
      <w:r w:rsidR="00C57688" w:rsidRPr="003B7845">
        <w:rPr>
          <w:sz w:val="22"/>
          <w:szCs w:val="22"/>
          <w:lang w:val="lv-LV"/>
        </w:rPr>
        <w:t xml:space="preserve">  </w:t>
      </w:r>
      <w:r w:rsidR="00B7119B">
        <w:rPr>
          <w:sz w:val="22"/>
          <w:szCs w:val="22"/>
          <w:lang w:val="lv-LV"/>
        </w:rPr>
        <w:t xml:space="preserve">   </w:t>
      </w:r>
      <w:r w:rsidR="00C57688" w:rsidRPr="003B7845">
        <w:rPr>
          <w:sz w:val="22"/>
          <w:szCs w:val="22"/>
          <w:lang w:val="lv-LV"/>
        </w:rPr>
        <w:t xml:space="preserve">   </w:t>
      </w:r>
      <w:r w:rsidR="00151E9B" w:rsidRPr="003B7845">
        <w:rPr>
          <w:sz w:val="22"/>
          <w:szCs w:val="22"/>
          <w:lang w:val="lv-LV"/>
        </w:rPr>
        <w:t xml:space="preserve">  </w:t>
      </w:r>
      <w:r w:rsidR="00C57688" w:rsidRPr="003B7845">
        <w:rPr>
          <w:sz w:val="22"/>
          <w:szCs w:val="22"/>
          <w:lang w:val="lv-LV"/>
        </w:rPr>
        <w:t>D.Dzalbe</w:t>
      </w:r>
      <w:r w:rsidRPr="003B7845">
        <w:rPr>
          <w:sz w:val="22"/>
          <w:szCs w:val="22"/>
          <w:lang w:val="lv-LV"/>
        </w:rPr>
        <w:t xml:space="preserve">   </w:t>
      </w:r>
    </w:p>
    <w:sectPr w:rsidR="004A005A" w:rsidRPr="003B7845" w:rsidSect="00722C03">
      <w:pgSz w:w="12240" w:h="15840"/>
      <w:pgMar w:top="568" w:right="1325"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7CEE" w14:textId="77777777" w:rsidR="00036898" w:rsidRDefault="00036898" w:rsidP="00743A15">
      <w:r>
        <w:separator/>
      </w:r>
    </w:p>
  </w:endnote>
  <w:endnote w:type="continuationSeparator" w:id="0">
    <w:p w14:paraId="4B92885B" w14:textId="77777777" w:rsidR="00036898" w:rsidRDefault="00036898" w:rsidP="007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ontserrat">
    <w:altName w:val="Calibri"/>
    <w:charset w:val="BA"/>
    <w:family w:val="auto"/>
    <w:pitch w:val="variable"/>
    <w:sig w:usb0="2000020F" w:usb1="00000003" w:usb2="00000000" w:usb3="00000000" w:csb0="00000197"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C6EC" w14:textId="77777777" w:rsidR="00036898" w:rsidRDefault="00036898" w:rsidP="00743A15">
      <w:r>
        <w:separator/>
      </w:r>
    </w:p>
  </w:footnote>
  <w:footnote w:type="continuationSeparator" w:id="0">
    <w:p w14:paraId="1AD258AD" w14:textId="77777777" w:rsidR="00036898" w:rsidRDefault="00036898" w:rsidP="0074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2D"/>
    <w:multiLevelType w:val="hybridMultilevel"/>
    <w:tmpl w:val="854C165E"/>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2C453BD"/>
    <w:multiLevelType w:val="hybridMultilevel"/>
    <w:tmpl w:val="B5EE1E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232FA2"/>
    <w:multiLevelType w:val="hybridMultilevel"/>
    <w:tmpl w:val="F57E7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E87C15"/>
    <w:multiLevelType w:val="hybridMultilevel"/>
    <w:tmpl w:val="9D6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12011"/>
    <w:multiLevelType w:val="hybridMultilevel"/>
    <w:tmpl w:val="A99EC1E8"/>
    <w:lvl w:ilvl="0" w:tplc="57F60B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6265D47"/>
    <w:multiLevelType w:val="hybridMultilevel"/>
    <w:tmpl w:val="FC1C4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8E17F2"/>
    <w:multiLevelType w:val="hybridMultilevel"/>
    <w:tmpl w:val="A75ABC38"/>
    <w:lvl w:ilvl="0" w:tplc="346ECDF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AD42C9"/>
    <w:multiLevelType w:val="multilevel"/>
    <w:tmpl w:val="90B60DBE"/>
    <w:lvl w:ilvl="0">
      <w:start w:val="3"/>
      <w:numFmt w:val="decimal"/>
      <w:lvlText w:val="%1."/>
      <w:lvlJc w:val="left"/>
      <w:pPr>
        <w:ind w:left="2912"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116B9A"/>
    <w:multiLevelType w:val="multilevel"/>
    <w:tmpl w:val="8B2A4CA8"/>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225D49"/>
    <w:multiLevelType w:val="hybridMultilevel"/>
    <w:tmpl w:val="A574008C"/>
    <w:lvl w:ilvl="0" w:tplc="58065192">
      <w:start w:val="7"/>
      <w:numFmt w:val="bullet"/>
      <w:lvlText w:val="-"/>
      <w:lvlJc w:val="left"/>
      <w:pPr>
        <w:ind w:left="1069" w:hanging="360"/>
      </w:pPr>
      <w:rPr>
        <w:rFonts w:ascii="Montserrat" w:eastAsiaTheme="minorHAnsi" w:hAnsi="Montserra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C2F2264"/>
    <w:multiLevelType w:val="hybridMultilevel"/>
    <w:tmpl w:val="0BF637BE"/>
    <w:lvl w:ilvl="0" w:tplc="CEC888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D94F74"/>
    <w:multiLevelType w:val="hybridMultilevel"/>
    <w:tmpl w:val="923EC164"/>
    <w:lvl w:ilvl="0" w:tplc="E8246574">
      <w:start w:val="2"/>
      <w:numFmt w:val="decimal"/>
      <w:lvlText w:val="%1."/>
      <w:lvlJc w:val="left"/>
      <w:pPr>
        <w:ind w:left="537" w:hanging="360"/>
      </w:pPr>
      <w:rPr>
        <w:rFonts w:hint="default"/>
        <w:sz w:val="22"/>
      </w:rPr>
    </w:lvl>
    <w:lvl w:ilvl="1" w:tplc="04260019" w:tentative="1">
      <w:start w:val="1"/>
      <w:numFmt w:val="lowerLetter"/>
      <w:lvlText w:val="%2."/>
      <w:lvlJc w:val="left"/>
      <w:pPr>
        <w:ind w:left="1257" w:hanging="360"/>
      </w:pPr>
    </w:lvl>
    <w:lvl w:ilvl="2" w:tplc="0426001B" w:tentative="1">
      <w:start w:val="1"/>
      <w:numFmt w:val="lowerRoman"/>
      <w:lvlText w:val="%3."/>
      <w:lvlJc w:val="right"/>
      <w:pPr>
        <w:ind w:left="1977" w:hanging="180"/>
      </w:pPr>
    </w:lvl>
    <w:lvl w:ilvl="3" w:tplc="0426000F" w:tentative="1">
      <w:start w:val="1"/>
      <w:numFmt w:val="decimal"/>
      <w:lvlText w:val="%4."/>
      <w:lvlJc w:val="left"/>
      <w:pPr>
        <w:ind w:left="2697" w:hanging="360"/>
      </w:pPr>
    </w:lvl>
    <w:lvl w:ilvl="4" w:tplc="04260019" w:tentative="1">
      <w:start w:val="1"/>
      <w:numFmt w:val="lowerLetter"/>
      <w:lvlText w:val="%5."/>
      <w:lvlJc w:val="left"/>
      <w:pPr>
        <w:ind w:left="3417" w:hanging="360"/>
      </w:pPr>
    </w:lvl>
    <w:lvl w:ilvl="5" w:tplc="0426001B" w:tentative="1">
      <w:start w:val="1"/>
      <w:numFmt w:val="lowerRoman"/>
      <w:lvlText w:val="%6."/>
      <w:lvlJc w:val="right"/>
      <w:pPr>
        <w:ind w:left="4137" w:hanging="180"/>
      </w:pPr>
    </w:lvl>
    <w:lvl w:ilvl="6" w:tplc="0426000F" w:tentative="1">
      <w:start w:val="1"/>
      <w:numFmt w:val="decimal"/>
      <w:lvlText w:val="%7."/>
      <w:lvlJc w:val="left"/>
      <w:pPr>
        <w:ind w:left="4857" w:hanging="360"/>
      </w:pPr>
    </w:lvl>
    <w:lvl w:ilvl="7" w:tplc="04260019" w:tentative="1">
      <w:start w:val="1"/>
      <w:numFmt w:val="lowerLetter"/>
      <w:lvlText w:val="%8."/>
      <w:lvlJc w:val="left"/>
      <w:pPr>
        <w:ind w:left="5577" w:hanging="360"/>
      </w:pPr>
    </w:lvl>
    <w:lvl w:ilvl="8" w:tplc="0426001B" w:tentative="1">
      <w:start w:val="1"/>
      <w:numFmt w:val="lowerRoman"/>
      <w:lvlText w:val="%9."/>
      <w:lvlJc w:val="right"/>
      <w:pPr>
        <w:ind w:left="6297" w:hanging="180"/>
      </w:pPr>
    </w:lvl>
  </w:abstractNum>
  <w:num w:numId="1">
    <w:abstractNumId w:val="0"/>
  </w:num>
  <w:num w:numId="2">
    <w:abstractNumId w:val="8"/>
  </w:num>
  <w:num w:numId="3">
    <w:abstractNumId w:val="3"/>
  </w:num>
  <w:num w:numId="4">
    <w:abstractNumId w:val="5"/>
  </w:num>
  <w:num w:numId="5">
    <w:abstractNumId w:val="11"/>
  </w:num>
  <w:num w:numId="6">
    <w:abstractNumId w:val="7"/>
  </w:num>
  <w:num w:numId="7">
    <w:abstractNumId w:val="4"/>
  </w:num>
  <w:num w:numId="8">
    <w:abstractNumId w:val="10"/>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42"/>
    <w:rsid w:val="00002456"/>
    <w:rsid w:val="00004763"/>
    <w:rsid w:val="00007AED"/>
    <w:rsid w:val="00020ED5"/>
    <w:rsid w:val="0002265D"/>
    <w:rsid w:val="000277AA"/>
    <w:rsid w:val="00034158"/>
    <w:rsid w:val="0003679F"/>
    <w:rsid w:val="00036898"/>
    <w:rsid w:val="00037BE8"/>
    <w:rsid w:val="00037CBF"/>
    <w:rsid w:val="000408A8"/>
    <w:rsid w:val="000440AF"/>
    <w:rsid w:val="00045E67"/>
    <w:rsid w:val="00046F6C"/>
    <w:rsid w:val="0004785C"/>
    <w:rsid w:val="00047B5F"/>
    <w:rsid w:val="00052F13"/>
    <w:rsid w:val="00055B47"/>
    <w:rsid w:val="00056BC8"/>
    <w:rsid w:val="000575C7"/>
    <w:rsid w:val="0006336E"/>
    <w:rsid w:val="00070C9F"/>
    <w:rsid w:val="00073767"/>
    <w:rsid w:val="00076B73"/>
    <w:rsid w:val="00077ABB"/>
    <w:rsid w:val="00077EBA"/>
    <w:rsid w:val="00080D0B"/>
    <w:rsid w:val="000810AF"/>
    <w:rsid w:val="00093E70"/>
    <w:rsid w:val="0009759E"/>
    <w:rsid w:val="000A25CC"/>
    <w:rsid w:val="000A3C7C"/>
    <w:rsid w:val="000A6456"/>
    <w:rsid w:val="000B1AB6"/>
    <w:rsid w:val="000B2AE1"/>
    <w:rsid w:val="000B584F"/>
    <w:rsid w:val="000C0B9B"/>
    <w:rsid w:val="000D0304"/>
    <w:rsid w:val="000D0ABA"/>
    <w:rsid w:val="000E22A2"/>
    <w:rsid w:val="000E2C0D"/>
    <w:rsid w:val="000F030B"/>
    <w:rsid w:val="000F0FBA"/>
    <w:rsid w:val="00103BB7"/>
    <w:rsid w:val="00106A8F"/>
    <w:rsid w:val="001100FF"/>
    <w:rsid w:val="00115BC2"/>
    <w:rsid w:val="00122F1B"/>
    <w:rsid w:val="00125F07"/>
    <w:rsid w:val="0013143B"/>
    <w:rsid w:val="00131DE6"/>
    <w:rsid w:val="00136CB8"/>
    <w:rsid w:val="00143C82"/>
    <w:rsid w:val="00144101"/>
    <w:rsid w:val="00145A38"/>
    <w:rsid w:val="00151E9B"/>
    <w:rsid w:val="00154030"/>
    <w:rsid w:val="00156BD2"/>
    <w:rsid w:val="00157A3C"/>
    <w:rsid w:val="001628AB"/>
    <w:rsid w:val="00167213"/>
    <w:rsid w:val="00173EF8"/>
    <w:rsid w:val="00174091"/>
    <w:rsid w:val="00176422"/>
    <w:rsid w:val="001929AC"/>
    <w:rsid w:val="001963C0"/>
    <w:rsid w:val="00197360"/>
    <w:rsid w:val="001B235C"/>
    <w:rsid w:val="001B32F7"/>
    <w:rsid w:val="001B4B6C"/>
    <w:rsid w:val="001B564C"/>
    <w:rsid w:val="001C1A81"/>
    <w:rsid w:val="001C2897"/>
    <w:rsid w:val="001C5F6B"/>
    <w:rsid w:val="001C7AF0"/>
    <w:rsid w:val="001D4999"/>
    <w:rsid w:val="001D5EBF"/>
    <w:rsid w:val="001D7119"/>
    <w:rsid w:val="001E07F8"/>
    <w:rsid w:val="001E39D5"/>
    <w:rsid w:val="001F077A"/>
    <w:rsid w:val="001F0955"/>
    <w:rsid w:val="001F1F19"/>
    <w:rsid w:val="00200FD6"/>
    <w:rsid w:val="002124DB"/>
    <w:rsid w:val="00213A01"/>
    <w:rsid w:val="00216A24"/>
    <w:rsid w:val="00220615"/>
    <w:rsid w:val="0022119B"/>
    <w:rsid w:val="002212EE"/>
    <w:rsid w:val="002218C4"/>
    <w:rsid w:val="00223643"/>
    <w:rsid w:val="00224D51"/>
    <w:rsid w:val="00231CA4"/>
    <w:rsid w:val="0023489D"/>
    <w:rsid w:val="00236033"/>
    <w:rsid w:val="00237AB0"/>
    <w:rsid w:val="002410E2"/>
    <w:rsid w:val="00246960"/>
    <w:rsid w:val="00246D57"/>
    <w:rsid w:val="00256AB1"/>
    <w:rsid w:val="00256BE6"/>
    <w:rsid w:val="00260620"/>
    <w:rsid w:val="00261095"/>
    <w:rsid w:val="00262693"/>
    <w:rsid w:val="0026667B"/>
    <w:rsid w:val="00266A5B"/>
    <w:rsid w:val="0027075A"/>
    <w:rsid w:val="002716A3"/>
    <w:rsid w:val="002720E3"/>
    <w:rsid w:val="00272469"/>
    <w:rsid w:val="00273545"/>
    <w:rsid w:val="00277D20"/>
    <w:rsid w:val="0028668D"/>
    <w:rsid w:val="0029285F"/>
    <w:rsid w:val="0029502B"/>
    <w:rsid w:val="002A1758"/>
    <w:rsid w:val="002A5CCD"/>
    <w:rsid w:val="002A666A"/>
    <w:rsid w:val="002B23F6"/>
    <w:rsid w:val="002B3EE0"/>
    <w:rsid w:val="002B47E2"/>
    <w:rsid w:val="002C326D"/>
    <w:rsid w:val="002C6B64"/>
    <w:rsid w:val="002E1140"/>
    <w:rsid w:val="002E3CC8"/>
    <w:rsid w:val="002E3DD9"/>
    <w:rsid w:val="002E56A7"/>
    <w:rsid w:val="002E5E10"/>
    <w:rsid w:val="002F2427"/>
    <w:rsid w:val="002F3EDE"/>
    <w:rsid w:val="002F43D2"/>
    <w:rsid w:val="003042CF"/>
    <w:rsid w:val="003117ED"/>
    <w:rsid w:val="0031282F"/>
    <w:rsid w:val="00312D01"/>
    <w:rsid w:val="0031318C"/>
    <w:rsid w:val="0031376C"/>
    <w:rsid w:val="00314426"/>
    <w:rsid w:val="00321B83"/>
    <w:rsid w:val="00323621"/>
    <w:rsid w:val="00326E18"/>
    <w:rsid w:val="00327C40"/>
    <w:rsid w:val="003370EB"/>
    <w:rsid w:val="00342286"/>
    <w:rsid w:val="00351C96"/>
    <w:rsid w:val="00352006"/>
    <w:rsid w:val="003533A6"/>
    <w:rsid w:val="00357EC4"/>
    <w:rsid w:val="00364932"/>
    <w:rsid w:val="00383767"/>
    <w:rsid w:val="003837D8"/>
    <w:rsid w:val="00383D43"/>
    <w:rsid w:val="00383DB6"/>
    <w:rsid w:val="00384A9A"/>
    <w:rsid w:val="00387397"/>
    <w:rsid w:val="00390009"/>
    <w:rsid w:val="0039080B"/>
    <w:rsid w:val="003975C0"/>
    <w:rsid w:val="003B060B"/>
    <w:rsid w:val="003B1166"/>
    <w:rsid w:val="003B7845"/>
    <w:rsid w:val="003C1BEE"/>
    <w:rsid w:val="003C5EF0"/>
    <w:rsid w:val="003D7304"/>
    <w:rsid w:val="003E0E00"/>
    <w:rsid w:val="003E54E1"/>
    <w:rsid w:val="003F004D"/>
    <w:rsid w:val="003F014C"/>
    <w:rsid w:val="003F2482"/>
    <w:rsid w:val="003F26D6"/>
    <w:rsid w:val="003F63C1"/>
    <w:rsid w:val="0040088A"/>
    <w:rsid w:val="00401410"/>
    <w:rsid w:val="00410F27"/>
    <w:rsid w:val="0042105A"/>
    <w:rsid w:val="00421B66"/>
    <w:rsid w:val="00422333"/>
    <w:rsid w:val="00425497"/>
    <w:rsid w:val="00431ABC"/>
    <w:rsid w:val="00433963"/>
    <w:rsid w:val="00435405"/>
    <w:rsid w:val="00441807"/>
    <w:rsid w:val="0044750F"/>
    <w:rsid w:val="00456E0D"/>
    <w:rsid w:val="004627F2"/>
    <w:rsid w:val="0046401E"/>
    <w:rsid w:val="00464520"/>
    <w:rsid w:val="004705C0"/>
    <w:rsid w:val="004750AF"/>
    <w:rsid w:val="004757E1"/>
    <w:rsid w:val="00477BAC"/>
    <w:rsid w:val="00482304"/>
    <w:rsid w:val="00483E9F"/>
    <w:rsid w:val="00484686"/>
    <w:rsid w:val="00485852"/>
    <w:rsid w:val="0048664D"/>
    <w:rsid w:val="0049644E"/>
    <w:rsid w:val="00496ECB"/>
    <w:rsid w:val="00497DEB"/>
    <w:rsid w:val="004A005A"/>
    <w:rsid w:val="004A7E9B"/>
    <w:rsid w:val="004B483F"/>
    <w:rsid w:val="004B4D51"/>
    <w:rsid w:val="004C52CD"/>
    <w:rsid w:val="004C7B5F"/>
    <w:rsid w:val="004D14F7"/>
    <w:rsid w:val="004D1AD5"/>
    <w:rsid w:val="004D2D36"/>
    <w:rsid w:val="004D4B37"/>
    <w:rsid w:val="004D614C"/>
    <w:rsid w:val="004E0AD1"/>
    <w:rsid w:val="004E4016"/>
    <w:rsid w:val="004E414E"/>
    <w:rsid w:val="004E49C1"/>
    <w:rsid w:val="004E5BA7"/>
    <w:rsid w:val="004E5CB7"/>
    <w:rsid w:val="004E618B"/>
    <w:rsid w:val="004F197B"/>
    <w:rsid w:val="004F4EAA"/>
    <w:rsid w:val="004F6B26"/>
    <w:rsid w:val="00503E18"/>
    <w:rsid w:val="0051307D"/>
    <w:rsid w:val="005135D6"/>
    <w:rsid w:val="00515D5F"/>
    <w:rsid w:val="00520AAE"/>
    <w:rsid w:val="0053209F"/>
    <w:rsid w:val="0054103F"/>
    <w:rsid w:val="00541115"/>
    <w:rsid w:val="0054343E"/>
    <w:rsid w:val="00546F7A"/>
    <w:rsid w:val="00550EA2"/>
    <w:rsid w:val="0055703D"/>
    <w:rsid w:val="0056458E"/>
    <w:rsid w:val="0057503C"/>
    <w:rsid w:val="00581402"/>
    <w:rsid w:val="005850F1"/>
    <w:rsid w:val="00585411"/>
    <w:rsid w:val="0059432F"/>
    <w:rsid w:val="0059643B"/>
    <w:rsid w:val="005A2CC1"/>
    <w:rsid w:val="005B0648"/>
    <w:rsid w:val="005B4B4D"/>
    <w:rsid w:val="005B5F86"/>
    <w:rsid w:val="005C20C6"/>
    <w:rsid w:val="005C3B12"/>
    <w:rsid w:val="005D28A6"/>
    <w:rsid w:val="005D2A93"/>
    <w:rsid w:val="005D662C"/>
    <w:rsid w:val="005D7115"/>
    <w:rsid w:val="005E0125"/>
    <w:rsid w:val="005E6B08"/>
    <w:rsid w:val="005F20E2"/>
    <w:rsid w:val="005F47DC"/>
    <w:rsid w:val="005F4F12"/>
    <w:rsid w:val="005F5B0F"/>
    <w:rsid w:val="006053FB"/>
    <w:rsid w:val="006058DE"/>
    <w:rsid w:val="00611E83"/>
    <w:rsid w:val="0061710C"/>
    <w:rsid w:val="00617AFE"/>
    <w:rsid w:val="00622E08"/>
    <w:rsid w:val="006323D2"/>
    <w:rsid w:val="00633712"/>
    <w:rsid w:val="006414BE"/>
    <w:rsid w:val="006447F5"/>
    <w:rsid w:val="006460F0"/>
    <w:rsid w:val="00647566"/>
    <w:rsid w:val="00655EFF"/>
    <w:rsid w:val="0065663F"/>
    <w:rsid w:val="0065737D"/>
    <w:rsid w:val="006602F3"/>
    <w:rsid w:val="006617A1"/>
    <w:rsid w:val="00666714"/>
    <w:rsid w:val="006706E4"/>
    <w:rsid w:val="006717FC"/>
    <w:rsid w:val="0067279B"/>
    <w:rsid w:val="00674549"/>
    <w:rsid w:val="006803F6"/>
    <w:rsid w:val="00681A32"/>
    <w:rsid w:val="00682821"/>
    <w:rsid w:val="00690955"/>
    <w:rsid w:val="00693BA2"/>
    <w:rsid w:val="00695A0D"/>
    <w:rsid w:val="00696C40"/>
    <w:rsid w:val="006A0362"/>
    <w:rsid w:val="006A1EC5"/>
    <w:rsid w:val="006A4A7C"/>
    <w:rsid w:val="006B3BE0"/>
    <w:rsid w:val="006B6465"/>
    <w:rsid w:val="006C1D11"/>
    <w:rsid w:val="006C4C6E"/>
    <w:rsid w:val="006D11C3"/>
    <w:rsid w:val="006D2003"/>
    <w:rsid w:val="006D2289"/>
    <w:rsid w:val="006E6014"/>
    <w:rsid w:val="006F0134"/>
    <w:rsid w:val="006F3C67"/>
    <w:rsid w:val="006F6E84"/>
    <w:rsid w:val="006F6F00"/>
    <w:rsid w:val="0070466A"/>
    <w:rsid w:val="007050CA"/>
    <w:rsid w:val="007169FE"/>
    <w:rsid w:val="007226C1"/>
    <w:rsid w:val="00722C03"/>
    <w:rsid w:val="00723EFC"/>
    <w:rsid w:val="00726C71"/>
    <w:rsid w:val="00732550"/>
    <w:rsid w:val="00742D43"/>
    <w:rsid w:val="00743610"/>
    <w:rsid w:val="00743A15"/>
    <w:rsid w:val="00744DDA"/>
    <w:rsid w:val="00754B47"/>
    <w:rsid w:val="007570C7"/>
    <w:rsid w:val="007620F2"/>
    <w:rsid w:val="007657FE"/>
    <w:rsid w:val="00767047"/>
    <w:rsid w:val="00770219"/>
    <w:rsid w:val="00770C42"/>
    <w:rsid w:val="007718BC"/>
    <w:rsid w:val="00771BF8"/>
    <w:rsid w:val="007739AB"/>
    <w:rsid w:val="00780456"/>
    <w:rsid w:val="00780601"/>
    <w:rsid w:val="0079522E"/>
    <w:rsid w:val="00797B53"/>
    <w:rsid w:val="007A0775"/>
    <w:rsid w:val="007A11B8"/>
    <w:rsid w:val="007A43BD"/>
    <w:rsid w:val="007B01E2"/>
    <w:rsid w:val="007B47C6"/>
    <w:rsid w:val="007C311E"/>
    <w:rsid w:val="007C46AB"/>
    <w:rsid w:val="007C6155"/>
    <w:rsid w:val="007C66A1"/>
    <w:rsid w:val="007D02E3"/>
    <w:rsid w:val="007D45CF"/>
    <w:rsid w:val="007D50E4"/>
    <w:rsid w:val="007D67C6"/>
    <w:rsid w:val="007E07EE"/>
    <w:rsid w:val="007E3E9A"/>
    <w:rsid w:val="007E7CF1"/>
    <w:rsid w:val="007E7D9B"/>
    <w:rsid w:val="007F1A4C"/>
    <w:rsid w:val="00800101"/>
    <w:rsid w:val="00801783"/>
    <w:rsid w:val="008022BB"/>
    <w:rsid w:val="00803EFF"/>
    <w:rsid w:val="00815B17"/>
    <w:rsid w:val="008174AA"/>
    <w:rsid w:val="00827D63"/>
    <w:rsid w:val="008313A5"/>
    <w:rsid w:val="00834507"/>
    <w:rsid w:val="008371C1"/>
    <w:rsid w:val="00860D08"/>
    <w:rsid w:val="008610BA"/>
    <w:rsid w:val="008628A3"/>
    <w:rsid w:val="00864365"/>
    <w:rsid w:val="008648CF"/>
    <w:rsid w:val="00865592"/>
    <w:rsid w:val="00870AD3"/>
    <w:rsid w:val="00873299"/>
    <w:rsid w:val="00874959"/>
    <w:rsid w:val="008774F3"/>
    <w:rsid w:val="008836C0"/>
    <w:rsid w:val="00890321"/>
    <w:rsid w:val="008911EF"/>
    <w:rsid w:val="008A05D7"/>
    <w:rsid w:val="008B5082"/>
    <w:rsid w:val="008C35AE"/>
    <w:rsid w:val="008C404F"/>
    <w:rsid w:val="008C49D2"/>
    <w:rsid w:val="008C4ED0"/>
    <w:rsid w:val="008D0444"/>
    <w:rsid w:val="008D1DA4"/>
    <w:rsid w:val="008D22C7"/>
    <w:rsid w:val="008E1446"/>
    <w:rsid w:val="008F19DE"/>
    <w:rsid w:val="008F4FB1"/>
    <w:rsid w:val="009006F0"/>
    <w:rsid w:val="0090189E"/>
    <w:rsid w:val="00905652"/>
    <w:rsid w:val="00905A44"/>
    <w:rsid w:val="00911F1F"/>
    <w:rsid w:val="00916B35"/>
    <w:rsid w:val="00916E75"/>
    <w:rsid w:val="009279B1"/>
    <w:rsid w:val="00932362"/>
    <w:rsid w:val="009328FC"/>
    <w:rsid w:val="009405BA"/>
    <w:rsid w:val="009447A0"/>
    <w:rsid w:val="00946363"/>
    <w:rsid w:val="009634AF"/>
    <w:rsid w:val="00966DCF"/>
    <w:rsid w:val="00970687"/>
    <w:rsid w:val="009712EE"/>
    <w:rsid w:val="00972E66"/>
    <w:rsid w:val="00973BB4"/>
    <w:rsid w:val="00977176"/>
    <w:rsid w:val="00977426"/>
    <w:rsid w:val="00990C50"/>
    <w:rsid w:val="00992210"/>
    <w:rsid w:val="00993B57"/>
    <w:rsid w:val="00995AA2"/>
    <w:rsid w:val="00997C0E"/>
    <w:rsid w:val="009A5A07"/>
    <w:rsid w:val="009B2A8B"/>
    <w:rsid w:val="009B39A2"/>
    <w:rsid w:val="009C1FF5"/>
    <w:rsid w:val="009C21E9"/>
    <w:rsid w:val="009C3FCB"/>
    <w:rsid w:val="009C7152"/>
    <w:rsid w:val="009D2B17"/>
    <w:rsid w:val="009D5863"/>
    <w:rsid w:val="009D5F51"/>
    <w:rsid w:val="009E2A95"/>
    <w:rsid w:val="009F11C3"/>
    <w:rsid w:val="009F2336"/>
    <w:rsid w:val="009F418F"/>
    <w:rsid w:val="009F7AA3"/>
    <w:rsid w:val="009F7F02"/>
    <w:rsid w:val="00A0389C"/>
    <w:rsid w:val="00A04605"/>
    <w:rsid w:val="00A12D05"/>
    <w:rsid w:val="00A17C8E"/>
    <w:rsid w:val="00A21DE4"/>
    <w:rsid w:val="00A237E8"/>
    <w:rsid w:val="00A23F6C"/>
    <w:rsid w:val="00A3035A"/>
    <w:rsid w:val="00A3557C"/>
    <w:rsid w:val="00A438C6"/>
    <w:rsid w:val="00A43BD1"/>
    <w:rsid w:val="00A51AA0"/>
    <w:rsid w:val="00A52F5E"/>
    <w:rsid w:val="00A630B2"/>
    <w:rsid w:val="00A64CF1"/>
    <w:rsid w:val="00A65035"/>
    <w:rsid w:val="00A6590C"/>
    <w:rsid w:val="00A66ADB"/>
    <w:rsid w:val="00A6796F"/>
    <w:rsid w:val="00A67DE8"/>
    <w:rsid w:val="00A76616"/>
    <w:rsid w:val="00A84A24"/>
    <w:rsid w:val="00A8560D"/>
    <w:rsid w:val="00A877B6"/>
    <w:rsid w:val="00A94D40"/>
    <w:rsid w:val="00A94E18"/>
    <w:rsid w:val="00A96B8B"/>
    <w:rsid w:val="00AA6A1A"/>
    <w:rsid w:val="00AA76FE"/>
    <w:rsid w:val="00AA7E64"/>
    <w:rsid w:val="00AB2230"/>
    <w:rsid w:val="00AC0A7C"/>
    <w:rsid w:val="00AC43DC"/>
    <w:rsid w:val="00AC6915"/>
    <w:rsid w:val="00AD252B"/>
    <w:rsid w:val="00AF4C81"/>
    <w:rsid w:val="00AF688D"/>
    <w:rsid w:val="00AF703D"/>
    <w:rsid w:val="00B049FB"/>
    <w:rsid w:val="00B05737"/>
    <w:rsid w:val="00B1027A"/>
    <w:rsid w:val="00B10645"/>
    <w:rsid w:val="00B22A04"/>
    <w:rsid w:val="00B25B57"/>
    <w:rsid w:val="00B31AA2"/>
    <w:rsid w:val="00B3441C"/>
    <w:rsid w:val="00B37196"/>
    <w:rsid w:val="00B40F45"/>
    <w:rsid w:val="00B459BA"/>
    <w:rsid w:val="00B516C3"/>
    <w:rsid w:val="00B53BA5"/>
    <w:rsid w:val="00B54FC9"/>
    <w:rsid w:val="00B55E97"/>
    <w:rsid w:val="00B601BA"/>
    <w:rsid w:val="00B6400F"/>
    <w:rsid w:val="00B65BCC"/>
    <w:rsid w:val="00B670E3"/>
    <w:rsid w:val="00B70C07"/>
    <w:rsid w:val="00B7119B"/>
    <w:rsid w:val="00B7465E"/>
    <w:rsid w:val="00B747E5"/>
    <w:rsid w:val="00B75EC9"/>
    <w:rsid w:val="00B80469"/>
    <w:rsid w:val="00B8704D"/>
    <w:rsid w:val="00B87E74"/>
    <w:rsid w:val="00B91C09"/>
    <w:rsid w:val="00B975F3"/>
    <w:rsid w:val="00BA167D"/>
    <w:rsid w:val="00BB09E9"/>
    <w:rsid w:val="00BB40CD"/>
    <w:rsid w:val="00BC1A19"/>
    <w:rsid w:val="00BC446C"/>
    <w:rsid w:val="00BC502C"/>
    <w:rsid w:val="00BD198F"/>
    <w:rsid w:val="00BD2C88"/>
    <w:rsid w:val="00BD3C62"/>
    <w:rsid w:val="00BD789C"/>
    <w:rsid w:val="00BE6B10"/>
    <w:rsid w:val="00BE7132"/>
    <w:rsid w:val="00BF11E6"/>
    <w:rsid w:val="00BF229A"/>
    <w:rsid w:val="00BF23AE"/>
    <w:rsid w:val="00BF3F52"/>
    <w:rsid w:val="00C01D16"/>
    <w:rsid w:val="00C0501B"/>
    <w:rsid w:val="00C106F5"/>
    <w:rsid w:val="00C107C7"/>
    <w:rsid w:val="00C12523"/>
    <w:rsid w:val="00C22D1A"/>
    <w:rsid w:val="00C23302"/>
    <w:rsid w:val="00C24C67"/>
    <w:rsid w:val="00C317B1"/>
    <w:rsid w:val="00C31C67"/>
    <w:rsid w:val="00C33ED9"/>
    <w:rsid w:val="00C36122"/>
    <w:rsid w:val="00C44CA3"/>
    <w:rsid w:val="00C511C8"/>
    <w:rsid w:val="00C52A09"/>
    <w:rsid w:val="00C559B8"/>
    <w:rsid w:val="00C57688"/>
    <w:rsid w:val="00C62645"/>
    <w:rsid w:val="00C66A53"/>
    <w:rsid w:val="00C706B1"/>
    <w:rsid w:val="00C72097"/>
    <w:rsid w:val="00C81B7B"/>
    <w:rsid w:val="00C821E0"/>
    <w:rsid w:val="00C83471"/>
    <w:rsid w:val="00C85704"/>
    <w:rsid w:val="00C8721D"/>
    <w:rsid w:val="00C92CEB"/>
    <w:rsid w:val="00C96709"/>
    <w:rsid w:val="00CA045F"/>
    <w:rsid w:val="00CA17CF"/>
    <w:rsid w:val="00CA5AAC"/>
    <w:rsid w:val="00CB5595"/>
    <w:rsid w:val="00CC0CB5"/>
    <w:rsid w:val="00CC3A1E"/>
    <w:rsid w:val="00CD3809"/>
    <w:rsid w:val="00CD3A94"/>
    <w:rsid w:val="00CD52A2"/>
    <w:rsid w:val="00CE0111"/>
    <w:rsid w:val="00CE0255"/>
    <w:rsid w:val="00CE1507"/>
    <w:rsid w:val="00CE352E"/>
    <w:rsid w:val="00CE5208"/>
    <w:rsid w:val="00D01344"/>
    <w:rsid w:val="00D014BC"/>
    <w:rsid w:val="00D05F4F"/>
    <w:rsid w:val="00D10EBF"/>
    <w:rsid w:val="00D11DFF"/>
    <w:rsid w:val="00D17339"/>
    <w:rsid w:val="00D205F3"/>
    <w:rsid w:val="00D22249"/>
    <w:rsid w:val="00D24BDD"/>
    <w:rsid w:val="00D2554B"/>
    <w:rsid w:val="00D312E6"/>
    <w:rsid w:val="00D3220E"/>
    <w:rsid w:val="00D331BD"/>
    <w:rsid w:val="00D35B81"/>
    <w:rsid w:val="00D370D8"/>
    <w:rsid w:val="00D47525"/>
    <w:rsid w:val="00D51A5C"/>
    <w:rsid w:val="00D5634A"/>
    <w:rsid w:val="00D63C80"/>
    <w:rsid w:val="00D63CC2"/>
    <w:rsid w:val="00D65A56"/>
    <w:rsid w:val="00D65AD2"/>
    <w:rsid w:val="00D65B7A"/>
    <w:rsid w:val="00D67C56"/>
    <w:rsid w:val="00D713AD"/>
    <w:rsid w:val="00D71EAF"/>
    <w:rsid w:val="00D72397"/>
    <w:rsid w:val="00D7649D"/>
    <w:rsid w:val="00D77992"/>
    <w:rsid w:val="00D82C67"/>
    <w:rsid w:val="00D93479"/>
    <w:rsid w:val="00D93849"/>
    <w:rsid w:val="00D943BB"/>
    <w:rsid w:val="00D94AF1"/>
    <w:rsid w:val="00D96089"/>
    <w:rsid w:val="00DA1C90"/>
    <w:rsid w:val="00DA46E1"/>
    <w:rsid w:val="00DB0441"/>
    <w:rsid w:val="00DB20CE"/>
    <w:rsid w:val="00DB4CD3"/>
    <w:rsid w:val="00DC6484"/>
    <w:rsid w:val="00DD4F9F"/>
    <w:rsid w:val="00DE490D"/>
    <w:rsid w:val="00DF535D"/>
    <w:rsid w:val="00E01B85"/>
    <w:rsid w:val="00E0226E"/>
    <w:rsid w:val="00E06225"/>
    <w:rsid w:val="00E10C50"/>
    <w:rsid w:val="00E1164B"/>
    <w:rsid w:val="00E13D1D"/>
    <w:rsid w:val="00E14B73"/>
    <w:rsid w:val="00E23B49"/>
    <w:rsid w:val="00E2498E"/>
    <w:rsid w:val="00E31124"/>
    <w:rsid w:val="00E3114E"/>
    <w:rsid w:val="00E4051A"/>
    <w:rsid w:val="00E409BE"/>
    <w:rsid w:val="00E4358A"/>
    <w:rsid w:val="00E508DF"/>
    <w:rsid w:val="00E5237D"/>
    <w:rsid w:val="00E5465C"/>
    <w:rsid w:val="00E54BCC"/>
    <w:rsid w:val="00E64309"/>
    <w:rsid w:val="00E70F05"/>
    <w:rsid w:val="00E75326"/>
    <w:rsid w:val="00E80CC3"/>
    <w:rsid w:val="00E84317"/>
    <w:rsid w:val="00E91316"/>
    <w:rsid w:val="00E91342"/>
    <w:rsid w:val="00E963D6"/>
    <w:rsid w:val="00EA2CE2"/>
    <w:rsid w:val="00EA69A2"/>
    <w:rsid w:val="00EB26EF"/>
    <w:rsid w:val="00EB3237"/>
    <w:rsid w:val="00EB5E7D"/>
    <w:rsid w:val="00EB7641"/>
    <w:rsid w:val="00EB772E"/>
    <w:rsid w:val="00EC70B0"/>
    <w:rsid w:val="00ED1221"/>
    <w:rsid w:val="00ED39A2"/>
    <w:rsid w:val="00EE322E"/>
    <w:rsid w:val="00EE5E38"/>
    <w:rsid w:val="00EF4575"/>
    <w:rsid w:val="00F04D09"/>
    <w:rsid w:val="00F04FE2"/>
    <w:rsid w:val="00F06C64"/>
    <w:rsid w:val="00F11B03"/>
    <w:rsid w:val="00F125C3"/>
    <w:rsid w:val="00F15EB4"/>
    <w:rsid w:val="00F20858"/>
    <w:rsid w:val="00F25584"/>
    <w:rsid w:val="00F35ADB"/>
    <w:rsid w:val="00F366E0"/>
    <w:rsid w:val="00F3681B"/>
    <w:rsid w:val="00F44016"/>
    <w:rsid w:val="00F446B9"/>
    <w:rsid w:val="00F52690"/>
    <w:rsid w:val="00F52B41"/>
    <w:rsid w:val="00F53E7E"/>
    <w:rsid w:val="00F55E72"/>
    <w:rsid w:val="00F57C89"/>
    <w:rsid w:val="00F61D94"/>
    <w:rsid w:val="00F640D7"/>
    <w:rsid w:val="00F656A1"/>
    <w:rsid w:val="00F669A3"/>
    <w:rsid w:val="00F75AD4"/>
    <w:rsid w:val="00F77EE1"/>
    <w:rsid w:val="00F862FA"/>
    <w:rsid w:val="00F929C5"/>
    <w:rsid w:val="00FB03FB"/>
    <w:rsid w:val="00FB1C1B"/>
    <w:rsid w:val="00FB291F"/>
    <w:rsid w:val="00FB3A67"/>
    <w:rsid w:val="00FC3161"/>
    <w:rsid w:val="00FD5E74"/>
    <w:rsid w:val="00FE7EDC"/>
    <w:rsid w:val="00FF249B"/>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2689"/>
  <w15:chartTrackingRefBased/>
  <w15:docId w15:val="{205E99BD-6BC3-451A-936D-B79D8D4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7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91342"/>
    <w:rPr>
      <w:rFonts w:ascii="Bookman Old Style" w:hAnsi="Bookman Old Style" w:cs="Arial"/>
      <w:sz w:val="16"/>
      <w:lang w:val="lv-LV"/>
    </w:rPr>
  </w:style>
  <w:style w:type="character" w:customStyle="1" w:styleId="BodyTextChar">
    <w:name w:val="Body Text Char"/>
    <w:basedOn w:val="DefaultParagraphFont"/>
    <w:link w:val="BodyText"/>
    <w:semiHidden/>
    <w:rsid w:val="00E91342"/>
    <w:rPr>
      <w:rFonts w:ascii="Bookman Old Style" w:eastAsia="Times New Roman" w:hAnsi="Bookman Old Style" w:cs="Arial"/>
      <w:sz w:val="16"/>
      <w:szCs w:val="24"/>
      <w:lang w:val="lv-LV"/>
    </w:rPr>
  </w:style>
  <w:style w:type="paragraph" w:styleId="BodyText2">
    <w:name w:val="Body Text 2"/>
    <w:basedOn w:val="Normal"/>
    <w:link w:val="BodyText2Char"/>
    <w:semiHidden/>
    <w:rsid w:val="00E91342"/>
    <w:rPr>
      <w:rFonts w:ascii="Arial" w:hAnsi="Arial" w:cs="Arial"/>
      <w:sz w:val="22"/>
      <w:lang w:val="lv-LV"/>
    </w:rPr>
  </w:style>
  <w:style w:type="character" w:customStyle="1" w:styleId="BodyText2Char">
    <w:name w:val="Body Text 2 Char"/>
    <w:basedOn w:val="DefaultParagraphFont"/>
    <w:link w:val="BodyText2"/>
    <w:semiHidden/>
    <w:rsid w:val="00E91342"/>
    <w:rPr>
      <w:rFonts w:ascii="Arial" w:eastAsia="Times New Roman" w:hAnsi="Arial" w:cs="Arial"/>
      <w:szCs w:val="24"/>
      <w:lang w:val="lv-LV"/>
    </w:rPr>
  </w:style>
  <w:style w:type="paragraph" w:styleId="Header">
    <w:name w:val="header"/>
    <w:basedOn w:val="Normal"/>
    <w:link w:val="HeaderChar"/>
    <w:uiPriority w:val="99"/>
    <w:rsid w:val="00E91342"/>
    <w:pPr>
      <w:tabs>
        <w:tab w:val="center" w:pos="4677"/>
        <w:tab w:val="right" w:pos="9355"/>
      </w:tabs>
    </w:pPr>
  </w:style>
  <w:style w:type="character" w:customStyle="1" w:styleId="HeaderChar">
    <w:name w:val="Header Char"/>
    <w:basedOn w:val="DefaultParagraphFont"/>
    <w:link w:val="Header"/>
    <w:uiPriority w:val="99"/>
    <w:rsid w:val="00E91342"/>
    <w:rPr>
      <w:rFonts w:ascii="Times New Roman" w:eastAsia="Times New Roman" w:hAnsi="Times New Roman" w:cs="Times New Roman"/>
      <w:sz w:val="24"/>
      <w:szCs w:val="24"/>
      <w:lang w:val="en-GB"/>
    </w:rPr>
  </w:style>
  <w:style w:type="paragraph" w:customStyle="1" w:styleId="Standard">
    <w:name w:val="Standard"/>
    <w:uiPriority w:val="99"/>
    <w:rsid w:val="00E91342"/>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paragraph" w:styleId="BodyTextIndent2">
    <w:name w:val="Body Text Indent 2"/>
    <w:basedOn w:val="Normal"/>
    <w:link w:val="BodyTextIndent2Char"/>
    <w:uiPriority w:val="99"/>
    <w:semiHidden/>
    <w:unhideWhenUsed/>
    <w:rsid w:val="002A5CCD"/>
    <w:pPr>
      <w:spacing w:after="120" w:line="480" w:lineRule="auto"/>
      <w:ind w:left="283"/>
    </w:pPr>
  </w:style>
  <w:style w:type="character" w:customStyle="1" w:styleId="BodyTextIndent2Char">
    <w:name w:val="Body Text Indent 2 Char"/>
    <w:basedOn w:val="DefaultParagraphFont"/>
    <w:link w:val="BodyTextIndent2"/>
    <w:uiPriority w:val="99"/>
    <w:semiHidden/>
    <w:rsid w:val="002A5CC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A5CCD"/>
    <w:pPr>
      <w:ind w:left="720"/>
      <w:contextualSpacing/>
    </w:pPr>
    <w:rPr>
      <w:rFonts w:ascii="Arial" w:hAnsi="Arial"/>
      <w:sz w:val="20"/>
      <w:szCs w:val="20"/>
      <w:lang w:val="lv-LV"/>
    </w:rPr>
  </w:style>
  <w:style w:type="character" w:styleId="Hyperlink">
    <w:name w:val="Hyperlink"/>
    <w:uiPriority w:val="99"/>
    <w:rsid w:val="00EB7641"/>
    <w:rPr>
      <w:rFonts w:cs="Times New Roman"/>
      <w:color w:val="0000FF"/>
      <w:u w:val="single"/>
    </w:rPr>
  </w:style>
  <w:style w:type="paragraph" w:styleId="PlainText">
    <w:name w:val="Plain Text"/>
    <w:basedOn w:val="Normal"/>
    <w:link w:val="PlainTextChar"/>
    <w:uiPriority w:val="99"/>
    <w:unhideWhenUsed/>
    <w:rsid w:val="00D77992"/>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D77992"/>
    <w:rPr>
      <w:rFonts w:ascii="Calibri" w:hAnsi="Calibri"/>
      <w:szCs w:val="21"/>
      <w:lang w:val="lv-LV"/>
    </w:rPr>
  </w:style>
  <w:style w:type="paragraph" w:styleId="BalloonText">
    <w:name w:val="Balloon Text"/>
    <w:basedOn w:val="Normal"/>
    <w:link w:val="BalloonTextChar"/>
    <w:uiPriority w:val="99"/>
    <w:semiHidden/>
    <w:unhideWhenUsed/>
    <w:rsid w:val="00C52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09"/>
    <w:rPr>
      <w:rFonts w:ascii="Segoe UI" w:eastAsia="Times New Roman" w:hAnsi="Segoe UI" w:cs="Segoe UI"/>
      <w:sz w:val="18"/>
      <w:szCs w:val="18"/>
      <w:lang w:val="en-GB"/>
    </w:rPr>
  </w:style>
  <w:style w:type="character" w:customStyle="1" w:styleId="Mention1">
    <w:name w:val="Mention1"/>
    <w:basedOn w:val="DefaultParagraphFont"/>
    <w:uiPriority w:val="99"/>
    <w:semiHidden/>
    <w:unhideWhenUsed/>
    <w:rsid w:val="00DA1C90"/>
    <w:rPr>
      <w:color w:val="2B579A"/>
      <w:shd w:val="clear" w:color="auto" w:fill="E6E6E6"/>
    </w:rPr>
  </w:style>
  <w:style w:type="character" w:styleId="FollowedHyperlink">
    <w:name w:val="FollowedHyperlink"/>
    <w:basedOn w:val="DefaultParagraphFont"/>
    <w:uiPriority w:val="99"/>
    <w:semiHidden/>
    <w:unhideWhenUsed/>
    <w:rsid w:val="00DA1C90"/>
    <w:rPr>
      <w:color w:val="954F72" w:themeColor="followedHyperlink"/>
      <w:u w:val="single"/>
    </w:rPr>
  </w:style>
  <w:style w:type="paragraph" w:styleId="NormalWeb">
    <w:name w:val="Normal (Web)"/>
    <w:basedOn w:val="Normal"/>
    <w:uiPriority w:val="99"/>
    <w:unhideWhenUsed/>
    <w:rsid w:val="00BB09E9"/>
    <w:pPr>
      <w:spacing w:before="100" w:beforeAutospacing="1" w:after="100" w:afterAutospacing="1"/>
    </w:pPr>
    <w:rPr>
      <w:rFonts w:eastAsiaTheme="minorHAnsi"/>
      <w:color w:val="000000"/>
      <w:lang w:val="lv-LV" w:eastAsia="lv-LV"/>
    </w:rPr>
  </w:style>
  <w:style w:type="character" w:customStyle="1" w:styleId="UnresolvedMention1">
    <w:name w:val="Unresolved Mention1"/>
    <w:basedOn w:val="DefaultParagraphFont"/>
    <w:uiPriority w:val="99"/>
    <w:semiHidden/>
    <w:unhideWhenUsed/>
    <w:rsid w:val="00E4051A"/>
    <w:rPr>
      <w:color w:val="808080"/>
      <w:shd w:val="clear" w:color="auto" w:fill="E6E6E6"/>
    </w:rPr>
  </w:style>
  <w:style w:type="paragraph" w:customStyle="1" w:styleId="Default">
    <w:name w:val="Default"/>
    <w:rsid w:val="00A23F6C"/>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EndnoteText">
    <w:name w:val="endnote text"/>
    <w:basedOn w:val="Normal"/>
    <w:link w:val="EndnoteTextChar"/>
    <w:uiPriority w:val="99"/>
    <w:semiHidden/>
    <w:unhideWhenUsed/>
    <w:rsid w:val="00743A15"/>
    <w:rPr>
      <w:sz w:val="20"/>
      <w:szCs w:val="20"/>
    </w:rPr>
  </w:style>
  <w:style w:type="character" w:customStyle="1" w:styleId="EndnoteTextChar">
    <w:name w:val="Endnote Text Char"/>
    <w:basedOn w:val="DefaultParagraphFont"/>
    <w:link w:val="EndnoteText"/>
    <w:uiPriority w:val="99"/>
    <w:semiHidden/>
    <w:rsid w:val="00743A1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743A15"/>
    <w:rPr>
      <w:vertAlign w:val="superscript"/>
    </w:rPr>
  </w:style>
  <w:style w:type="character" w:styleId="UnresolvedMention">
    <w:name w:val="Unresolved Mention"/>
    <w:basedOn w:val="DefaultParagraphFont"/>
    <w:uiPriority w:val="99"/>
    <w:semiHidden/>
    <w:unhideWhenUsed/>
    <w:rsid w:val="00CC3A1E"/>
    <w:rPr>
      <w:color w:val="605E5C"/>
      <w:shd w:val="clear" w:color="auto" w:fill="E1DFDD"/>
    </w:rPr>
  </w:style>
  <w:style w:type="paragraph" w:customStyle="1" w:styleId="Teksts">
    <w:name w:val="Teksts"/>
    <w:basedOn w:val="Normal"/>
    <w:next w:val="Normal"/>
    <w:rsid w:val="00256BE6"/>
    <w:pPr>
      <w:suppressAutoHyphens/>
      <w:spacing w:after="240"/>
      <w:jc w:val="both"/>
    </w:pPr>
    <w:rPr>
      <w:sz w:val="23"/>
      <w:szCs w:val="22"/>
      <w:lang w:val="lv-LV" w:eastAsia="zh-CN"/>
    </w:rPr>
  </w:style>
  <w:style w:type="paragraph" w:styleId="BodyTextIndent">
    <w:name w:val="Body Text Indent"/>
    <w:basedOn w:val="Normal"/>
    <w:link w:val="BodyTextIndentChar"/>
    <w:uiPriority w:val="99"/>
    <w:semiHidden/>
    <w:unhideWhenUsed/>
    <w:rsid w:val="007226C1"/>
    <w:pPr>
      <w:spacing w:after="120"/>
      <w:ind w:left="283"/>
    </w:pPr>
  </w:style>
  <w:style w:type="character" w:customStyle="1" w:styleId="BodyTextIndentChar">
    <w:name w:val="Body Text Indent Char"/>
    <w:basedOn w:val="DefaultParagraphFont"/>
    <w:link w:val="BodyTextIndent"/>
    <w:uiPriority w:val="99"/>
    <w:semiHidden/>
    <w:rsid w:val="007226C1"/>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C7AF0"/>
    <w:rPr>
      <w:sz w:val="16"/>
      <w:szCs w:val="16"/>
    </w:rPr>
  </w:style>
  <w:style w:type="paragraph" w:styleId="CommentText">
    <w:name w:val="annotation text"/>
    <w:basedOn w:val="Normal"/>
    <w:link w:val="CommentTextChar"/>
    <w:uiPriority w:val="99"/>
    <w:semiHidden/>
    <w:unhideWhenUsed/>
    <w:rsid w:val="001C7AF0"/>
    <w:rPr>
      <w:sz w:val="20"/>
      <w:szCs w:val="20"/>
    </w:rPr>
  </w:style>
  <w:style w:type="character" w:customStyle="1" w:styleId="CommentTextChar">
    <w:name w:val="Comment Text Char"/>
    <w:basedOn w:val="DefaultParagraphFont"/>
    <w:link w:val="CommentText"/>
    <w:uiPriority w:val="99"/>
    <w:semiHidden/>
    <w:rsid w:val="001C7AF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C7AF0"/>
    <w:rPr>
      <w:b/>
      <w:bCs/>
    </w:rPr>
  </w:style>
  <w:style w:type="character" w:customStyle="1" w:styleId="CommentSubjectChar">
    <w:name w:val="Comment Subject Char"/>
    <w:basedOn w:val="CommentTextChar"/>
    <w:link w:val="CommentSubject"/>
    <w:uiPriority w:val="99"/>
    <w:semiHidden/>
    <w:rsid w:val="001C7AF0"/>
    <w:rPr>
      <w:rFonts w:ascii="Times New Roman" w:eastAsia="Times New Roman" w:hAnsi="Times New Roman" w:cs="Times New Roman"/>
      <w:b/>
      <w:bCs/>
      <w:sz w:val="20"/>
      <w:szCs w:val="20"/>
      <w:lang w:val="en-GB"/>
    </w:rPr>
  </w:style>
  <w:style w:type="table" w:styleId="TableGrid">
    <w:name w:val="Table Grid"/>
    <w:basedOn w:val="TableNormal"/>
    <w:uiPriority w:val="39"/>
    <w:rsid w:val="00916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117">
      <w:bodyDiv w:val="1"/>
      <w:marLeft w:val="0"/>
      <w:marRight w:val="0"/>
      <w:marTop w:val="0"/>
      <w:marBottom w:val="0"/>
      <w:divBdr>
        <w:top w:val="none" w:sz="0" w:space="0" w:color="auto"/>
        <w:left w:val="none" w:sz="0" w:space="0" w:color="auto"/>
        <w:bottom w:val="none" w:sz="0" w:space="0" w:color="auto"/>
        <w:right w:val="none" w:sz="0" w:space="0" w:color="auto"/>
      </w:divBdr>
    </w:div>
    <w:div w:id="120614097">
      <w:bodyDiv w:val="1"/>
      <w:marLeft w:val="0"/>
      <w:marRight w:val="0"/>
      <w:marTop w:val="0"/>
      <w:marBottom w:val="0"/>
      <w:divBdr>
        <w:top w:val="none" w:sz="0" w:space="0" w:color="auto"/>
        <w:left w:val="none" w:sz="0" w:space="0" w:color="auto"/>
        <w:bottom w:val="none" w:sz="0" w:space="0" w:color="auto"/>
        <w:right w:val="none" w:sz="0" w:space="0" w:color="auto"/>
      </w:divBdr>
    </w:div>
    <w:div w:id="229658144">
      <w:bodyDiv w:val="1"/>
      <w:marLeft w:val="0"/>
      <w:marRight w:val="0"/>
      <w:marTop w:val="0"/>
      <w:marBottom w:val="0"/>
      <w:divBdr>
        <w:top w:val="none" w:sz="0" w:space="0" w:color="auto"/>
        <w:left w:val="none" w:sz="0" w:space="0" w:color="auto"/>
        <w:bottom w:val="none" w:sz="0" w:space="0" w:color="auto"/>
        <w:right w:val="none" w:sz="0" w:space="0" w:color="auto"/>
      </w:divBdr>
    </w:div>
    <w:div w:id="816267439">
      <w:bodyDiv w:val="1"/>
      <w:marLeft w:val="0"/>
      <w:marRight w:val="0"/>
      <w:marTop w:val="0"/>
      <w:marBottom w:val="0"/>
      <w:divBdr>
        <w:top w:val="none" w:sz="0" w:space="0" w:color="auto"/>
        <w:left w:val="none" w:sz="0" w:space="0" w:color="auto"/>
        <w:bottom w:val="none" w:sz="0" w:space="0" w:color="auto"/>
        <w:right w:val="none" w:sz="0" w:space="0" w:color="auto"/>
      </w:divBdr>
    </w:div>
    <w:div w:id="836530174">
      <w:bodyDiv w:val="1"/>
      <w:marLeft w:val="0"/>
      <w:marRight w:val="0"/>
      <w:marTop w:val="0"/>
      <w:marBottom w:val="0"/>
      <w:divBdr>
        <w:top w:val="none" w:sz="0" w:space="0" w:color="auto"/>
        <w:left w:val="none" w:sz="0" w:space="0" w:color="auto"/>
        <w:bottom w:val="none" w:sz="0" w:space="0" w:color="auto"/>
        <w:right w:val="none" w:sz="0" w:space="0" w:color="auto"/>
      </w:divBdr>
    </w:div>
    <w:div w:id="981040317">
      <w:bodyDiv w:val="1"/>
      <w:marLeft w:val="0"/>
      <w:marRight w:val="0"/>
      <w:marTop w:val="0"/>
      <w:marBottom w:val="0"/>
      <w:divBdr>
        <w:top w:val="none" w:sz="0" w:space="0" w:color="auto"/>
        <w:left w:val="none" w:sz="0" w:space="0" w:color="auto"/>
        <w:bottom w:val="none" w:sz="0" w:space="0" w:color="auto"/>
        <w:right w:val="none" w:sz="0" w:space="0" w:color="auto"/>
      </w:divBdr>
    </w:div>
    <w:div w:id="1039936632">
      <w:bodyDiv w:val="1"/>
      <w:marLeft w:val="0"/>
      <w:marRight w:val="0"/>
      <w:marTop w:val="0"/>
      <w:marBottom w:val="0"/>
      <w:divBdr>
        <w:top w:val="none" w:sz="0" w:space="0" w:color="auto"/>
        <w:left w:val="none" w:sz="0" w:space="0" w:color="auto"/>
        <w:bottom w:val="none" w:sz="0" w:space="0" w:color="auto"/>
        <w:right w:val="none" w:sz="0" w:space="0" w:color="auto"/>
      </w:divBdr>
    </w:div>
    <w:div w:id="1056276172">
      <w:bodyDiv w:val="1"/>
      <w:marLeft w:val="0"/>
      <w:marRight w:val="0"/>
      <w:marTop w:val="0"/>
      <w:marBottom w:val="0"/>
      <w:divBdr>
        <w:top w:val="none" w:sz="0" w:space="0" w:color="auto"/>
        <w:left w:val="none" w:sz="0" w:space="0" w:color="auto"/>
        <w:bottom w:val="none" w:sz="0" w:space="0" w:color="auto"/>
        <w:right w:val="none" w:sz="0" w:space="0" w:color="auto"/>
      </w:divBdr>
    </w:div>
    <w:div w:id="1301615399">
      <w:bodyDiv w:val="1"/>
      <w:marLeft w:val="0"/>
      <w:marRight w:val="0"/>
      <w:marTop w:val="0"/>
      <w:marBottom w:val="0"/>
      <w:divBdr>
        <w:top w:val="none" w:sz="0" w:space="0" w:color="auto"/>
        <w:left w:val="none" w:sz="0" w:space="0" w:color="auto"/>
        <w:bottom w:val="none" w:sz="0" w:space="0" w:color="auto"/>
        <w:right w:val="none" w:sz="0" w:space="0" w:color="auto"/>
      </w:divBdr>
    </w:div>
    <w:div w:id="1476409321">
      <w:bodyDiv w:val="1"/>
      <w:marLeft w:val="0"/>
      <w:marRight w:val="0"/>
      <w:marTop w:val="0"/>
      <w:marBottom w:val="0"/>
      <w:divBdr>
        <w:top w:val="none" w:sz="0" w:space="0" w:color="auto"/>
        <w:left w:val="none" w:sz="0" w:space="0" w:color="auto"/>
        <w:bottom w:val="none" w:sz="0" w:space="0" w:color="auto"/>
        <w:right w:val="none" w:sz="0" w:space="0" w:color="auto"/>
      </w:divBdr>
    </w:div>
    <w:div w:id="1949004704">
      <w:bodyDiv w:val="1"/>
      <w:marLeft w:val="0"/>
      <w:marRight w:val="0"/>
      <w:marTop w:val="0"/>
      <w:marBottom w:val="0"/>
      <w:divBdr>
        <w:top w:val="none" w:sz="0" w:space="0" w:color="auto"/>
        <w:left w:val="none" w:sz="0" w:space="0" w:color="auto"/>
        <w:bottom w:val="none" w:sz="0" w:space="0" w:color="auto"/>
        <w:right w:val="none" w:sz="0" w:space="0" w:color="auto"/>
      </w:divBdr>
    </w:div>
    <w:div w:id="21466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969F6-B20F-4455-9E94-EA748DA6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7719</Words>
  <Characters>4400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Julija Meinerte</cp:lastModifiedBy>
  <cp:revision>227</cp:revision>
  <cp:lastPrinted>2021-06-14T09:58:00Z</cp:lastPrinted>
  <dcterms:created xsi:type="dcterms:W3CDTF">2019-04-10T08:58:00Z</dcterms:created>
  <dcterms:modified xsi:type="dcterms:W3CDTF">2021-06-17T10:15:00Z</dcterms:modified>
</cp:coreProperties>
</file>