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4023219D" w:rsidR="005749FD" w:rsidRPr="00245E01" w:rsidRDefault="00245E01" w:rsidP="005749FD">
      <w:pPr>
        <w:spacing w:after="0" w:line="240" w:lineRule="auto"/>
        <w:jc w:val="center"/>
        <w:outlineLvl w:val="3"/>
        <w:rPr>
          <w:rFonts w:ascii="Times New Roman" w:hAnsi="Times New Roman"/>
          <w:b/>
          <w:sz w:val="24"/>
          <w:szCs w:val="24"/>
        </w:rPr>
      </w:pPr>
      <w:r w:rsidRPr="00245E01">
        <w:rPr>
          <w:rFonts w:ascii="Times New Roman" w:hAnsi="Times New Roman"/>
          <w:b/>
          <w:sz w:val="24"/>
          <w:szCs w:val="24"/>
        </w:rPr>
        <w:t xml:space="preserve">Daugavpils </w:t>
      </w:r>
      <w:proofErr w:type="spellStart"/>
      <w:r w:rsidRPr="00245E01">
        <w:rPr>
          <w:rFonts w:ascii="Times New Roman" w:hAnsi="Times New Roman"/>
          <w:b/>
          <w:sz w:val="24"/>
          <w:szCs w:val="24"/>
        </w:rPr>
        <w:t>valst</w:t>
      </w:r>
      <w:r w:rsidR="00740863">
        <w:rPr>
          <w:rFonts w:ascii="Times New Roman" w:hAnsi="Times New Roman"/>
          <w:b/>
          <w:sz w:val="24"/>
          <w:szCs w:val="24"/>
        </w:rPr>
        <w:t>spilsētas</w:t>
      </w:r>
      <w:proofErr w:type="spellEnd"/>
      <w:r w:rsidR="00740863">
        <w:rPr>
          <w:rFonts w:ascii="Times New Roman" w:hAnsi="Times New Roman"/>
          <w:b/>
          <w:sz w:val="24"/>
          <w:szCs w:val="24"/>
        </w:rPr>
        <w:t xml:space="preserve"> pašvaldības domes 2024.gada 20.februara</w:t>
      </w:r>
      <w:r w:rsidRPr="00245E01">
        <w:rPr>
          <w:rFonts w:ascii="Times New Roman" w:hAnsi="Times New Roman"/>
          <w:b/>
          <w:sz w:val="24"/>
          <w:szCs w:val="24"/>
        </w:rPr>
        <w:t xml:space="preserve"> </w:t>
      </w:r>
      <w:r w:rsidRPr="00DF7E37">
        <w:rPr>
          <w:rFonts w:ascii="Times New Roman" w:hAnsi="Times New Roman"/>
          <w:b/>
          <w:sz w:val="24"/>
          <w:szCs w:val="24"/>
        </w:rPr>
        <w:t>saistošo noteikumu Nr.</w:t>
      </w:r>
      <w:r w:rsidR="00DF7E37" w:rsidRPr="00DF7E37">
        <w:rPr>
          <w:rFonts w:ascii="Times New Roman" w:hAnsi="Times New Roman"/>
          <w:b/>
          <w:sz w:val="24"/>
          <w:szCs w:val="24"/>
        </w:rPr>
        <w:t>9</w:t>
      </w:r>
      <w:r w:rsidRPr="00DF7E37">
        <w:rPr>
          <w:rFonts w:ascii="Times New Roman" w:hAnsi="Times New Roman"/>
          <w:b/>
          <w:sz w:val="24"/>
          <w:szCs w:val="24"/>
        </w:rPr>
        <w:t xml:space="preserve"> </w:t>
      </w:r>
      <w:r w:rsidRPr="00245E01">
        <w:rPr>
          <w:rFonts w:ascii="Times New Roman" w:hAnsi="Times New Roman"/>
          <w:b/>
          <w:sz w:val="24"/>
          <w:szCs w:val="24"/>
        </w:rPr>
        <w:t xml:space="preserve">“Grozījumi Daugavpils </w:t>
      </w:r>
      <w:proofErr w:type="spellStart"/>
      <w:r w:rsidRPr="00245E01">
        <w:rPr>
          <w:rFonts w:ascii="Times New Roman" w:hAnsi="Times New Roman"/>
          <w:b/>
          <w:sz w:val="24"/>
          <w:szCs w:val="24"/>
        </w:rPr>
        <w:t>valstspilsētas</w:t>
      </w:r>
      <w:proofErr w:type="spellEnd"/>
      <w:r w:rsidRPr="00245E01">
        <w:rPr>
          <w:rFonts w:ascii="Times New Roman" w:hAnsi="Times New Roman"/>
          <w:b/>
          <w:sz w:val="24"/>
          <w:szCs w:val="24"/>
        </w:rPr>
        <w:t xml:space="preserve"> pašvaldības domes 2011. gada 22. jūnija saistošajos noteikumos Nr. 19 “</w:t>
      </w:r>
      <w:r w:rsidRPr="00245E01">
        <w:rPr>
          <w:rFonts w:ascii="Times New Roman" w:hAnsi="Times New Roman"/>
          <w:b/>
          <w:sz w:val="24"/>
          <w:szCs w:val="24"/>
          <w:shd w:val="clear" w:color="auto" w:fill="FFFFFF"/>
        </w:rPr>
        <w:t>Bērnu reģistrācijas, uzņemšanas, atskaitīšanas kārtība un diennakts režīma pakalpojuma sniegšanas kārtība Daugavpils pilsētas pirmsskolas izglītības iestādēs</w:t>
      </w:r>
      <w:r w:rsidRPr="00245E01">
        <w:rPr>
          <w:rFonts w:ascii="Times New Roman" w:hAnsi="Times New Roman"/>
          <w:b/>
          <w:sz w:val="24"/>
          <w:szCs w:val="24"/>
        </w:rPr>
        <w:t>””</w:t>
      </w:r>
      <w:r w:rsidR="005749FD" w:rsidRPr="00245E01">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42E06" w14:textId="3A0829D7" w:rsidR="001F35AE" w:rsidRPr="001F35AE" w:rsidRDefault="001F35AE" w:rsidP="001F35AE">
            <w:pPr>
              <w:widowControl/>
              <w:spacing w:after="0" w:line="240" w:lineRule="auto"/>
              <w:ind w:right="102" w:firstLine="421"/>
              <w:jc w:val="both"/>
              <w:textAlignment w:val="baseline"/>
              <w:rPr>
                <w:rFonts w:ascii="Times New Roman" w:hAnsi="Times New Roman"/>
                <w:sz w:val="24"/>
                <w:szCs w:val="24"/>
              </w:rPr>
            </w:pPr>
            <w:r w:rsidRPr="001F35AE">
              <w:rPr>
                <w:rFonts w:ascii="Times New Roman" w:hAnsi="Times New Roman"/>
                <w:sz w:val="24"/>
                <w:szCs w:val="24"/>
              </w:rPr>
              <w:t>2023. gada 1. janvārī stājies spēkā Pašvaldību likums. Atbilstoši Pašvaldību likuma Pārejas noteikumu 6. punktam, d</w:t>
            </w:r>
            <w:r w:rsidRPr="001F35AE">
              <w:rPr>
                <w:rFonts w:ascii="Times New Roman" w:hAnsi="Times New Roman"/>
                <w:sz w:val="24"/>
                <w:szCs w:val="24"/>
                <w:shd w:val="clear" w:color="auto" w:fill="FFFFFF"/>
              </w:rPr>
              <w:t xml:space="preserve">ome izvērtē uz likuma </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Par pašvaldībām</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 xml:space="preserve"> normu pamata izdoto saistošo noteikumu atbilstību šim likumam un izdod jaunus saistošos noteikumus atbilstoši šajā likumā ietvertajam pilnvarojumam. </w:t>
            </w:r>
          </w:p>
          <w:p w14:paraId="2ED5040E" w14:textId="20677109" w:rsidR="008A2CD0" w:rsidRDefault="003C422D" w:rsidP="008A2CD0">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Pašvaldības domes 2011. gada 22. jūnija saistošie noteikumi Nr. 19 “</w:t>
            </w:r>
            <w:r w:rsidRPr="00F4397A">
              <w:rPr>
                <w:rFonts w:ascii="Times New Roman" w:hAnsi="Times New Roman"/>
                <w:bCs/>
                <w:sz w:val="24"/>
                <w:szCs w:val="24"/>
                <w:shd w:val="clear" w:color="auto" w:fill="FFFFFF"/>
              </w:rPr>
              <w:t>Bērnu reģistrācijas, uzņemšanas, atskaitīšanas kārtība un diennakts režīma pakalpojuma sniegšanas kārtība Daugavpils pilsētas pirmsskolas izglītības iestādēs</w:t>
            </w:r>
            <w:r>
              <w:rPr>
                <w:rFonts w:ascii="Times New Roman" w:hAnsi="Times New Roman"/>
                <w:sz w:val="24"/>
                <w:szCs w:val="24"/>
              </w:rPr>
              <w:t xml:space="preserve">” (turpmāk – Saistošie noteikumi Nr. 19) ir izdoti saskaņā ar </w:t>
            </w:r>
            <w:r w:rsidRPr="00F4397A">
              <w:rPr>
                <w:rFonts w:ascii="Times New Roman" w:hAnsi="Times New Roman"/>
                <w:sz w:val="24"/>
                <w:szCs w:val="24"/>
              </w:rPr>
              <w:t>Vispārējās izglītības likuma 26. panta pirmo daļu</w:t>
            </w:r>
            <w:r>
              <w:rPr>
                <w:rFonts w:ascii="Times New Roman" w:hAnsi="Times New Roman"/>
                <w:sz w:val="24"/>
                <w:szCs w:val="24"/>
              </w:rPr>
              <w:t xml:space="preserve"> un </w:t>
            </w:r>
            <w:r w:rsidR="008A145E">
              <w:rPr>
                <w:rFonts w:ascii="Times New Roman" w:hAnsi="Times New Roman"/>
                <w:sz w:val="24"/>
                <w:szCs w:val="24"/>
              </w:rPr>
              <w:t xml:space="preserve">saskaņā ar </w:t>
            </w:r>
            <w:r>
              <w:rPr>
                <w:rFonts w:ascii="Times New Roman" w:hAnsi="Times New Roman"/>
                <w:sz w:val="24"/>
                <w:szCs w:val="24"/>
              </w:rPr>
              <w:t>likuma “Par pašvaldībām” 43. panta trešo daļu</w:t>
            </w:r>
            <w:r w:rsidR="008A145E">
              <w:rPr>
                <w:rFonts w:ascii="Times New Roman" w:hAnsi="Times New Roman"/>
                <w:sz w:val="24"/>
                <w:szCs w:val="24"/>
              </w:rPr>
              <w:t>, kas zaudēja spēku</w:t>
            </w:r>
            <w:r>
              <w:rPr>
                <w:rFonts w:ascii="Times New Roman" w:hAnsi="Times New Roman"/>
                <w:sz w:val="24"/>
                <w:szCs w:val="24"/>
              </w:rPr>
              <w:t>.</w:t>
            </w:r>
          </w:p>
          <w:p w14:paraId="75B2E8FF" w14:textId="12541C73" w:rsidR="008A2CD0" w:rsidRPr="008A2CD0" w:rsidRDefault="008A2CD0" w:rsidP="008A2CD0">
            <w:pPr>
              <w:widowControl/>
              <w:spacing w:after="0" w:line="240" w:lineRule="auto"/>
              <w:ind w:right="102" w:firstLine="421"/>
              <w:jc w:val="both"/>
              <w:textAlignment w:val="baseline"/>
              <w:rPr>
                <w:rFonts w:ascii="Times New Roman" w:hAnsi="Times New Roman"/>
                <w:sz w:val="24"/>
                <w:szCs w:val="24"/>
              </w:rPr>
            </w:pPr>
            <w:r w:rsidRPr="008A2CD0">
              <w:rPr>
                <w:rFonts w:ascii="Times New Roman" w:hAnsi="Times New Roman"/>
                <w:sz w:val="24"/>
                <w:szCs w:val="24"/>
              </w:rPr>
              <w:t>Saistošo noteikumu Nr. 19 mērķis ir noteikt izglītojamo reģistrācijas, uzņemšanas un atskaitīšanas kārtību pašvaldības pirmsskolas izglītības iestādēs</w:t>
            </w:r>
            <w:r>
              <w:rPr>
                <w:rFonts w:ascii="Times New Roman" w:hAnsi="Times New Roman"/>
                <w:sz w:val="24"/>
                <w:szCs w:val="24"/>
              </w:rPr>
              <w:t xml:space="preserve">, kā arī </w:t>
            </w:r>
            <w:r w:rsidRPr="008A2CD0">
              <w:rPr>
                <w:rFonts w:ascii="Times New Roman" w:hAnsi="Times New Roman"/>
                <w:sz w:val="24"/>
                <w:szCs w:val="24"/>
              </w:rPr>
              <w:t>diennakts režīma pakalpojuma sniegšanas kārtību pašvaldības pirmsskolas izglītības iestādēs.</w:t>
            </w:r>
          </w:p>
          <w:p w14:paraId="1680EBD5" w14:textId="5BD7698D" w:rsidR="008A2CD0" w:rsidRPr="008A2CD0" w:rsidRDefault="008A2CD0" w:rsidP="008A2CD0">
            <w:pPr>
              <w:widowControl/>
              <w:spacing w:after="0" w:line="240" w:lineRule="auto"/>
              <w:ind w:right="102" w:firstLine="421"/>
              <w:jc w:val="both"/>
              <w:textAlignment w:val="baseline"/>
              <w:rPr>
                <w:rFonts w:ascii="Times New Roman" w:hAnsi="Times New Roman"/>
                <w:sz w:val="24"/>
                <w:szCs w:val="24"/>
                <w:shd w:val="clear" w:color="auto" w:fill="FFFFFF"/>
              </w:rPr>
            </w:pPr>
            <w:r w:rsidRPr="00F4397A">
              <w:rPr>
                <w:rFonts w:ascii="Times New Roman" w:hAnsi="Times New Roman"/>
                <w:sz w:val="24"/>
                <w:szCs w:val="24"/>
              </w:rPr>
              <w:t>Saskaņā ar Vispārējās izglītības likuma 26. panta pirmo daļu</w:t>
            </w:r>
            <w:r w:rsidRPr="00F4397A">
              <w:rPr>
                <w:rFonts w:ascii="Times New Roman" w:hAnsi="Times New Roman"/>
                <w:sz w:val="24"/>
                <w:szCs w:val="24"/>
                <w:shd w:val="clear" w:color="auto" w:fill="FFFFFF"/>
              </w:rPr>
              <w:t xml:space="preserve"> pašvaldību vispārējās pirmsskolas izglītības iestādēs izglītojamos uzņem izglītības iestādes dibinātāja noteiktajā kārtībā, ievērojot Izglītības likuma un citu likumu noteikumus</w:t>
            </w:r>
            <w:r>
              <w:rPr>
                <w:rFonts w:ascii="Times New Roman" w:hAnsi="Times New Roman"/>
                <w:sz w:val="24"/>
                <w:szCs w:val="24"/>
                <w:shd w:val="clear" w:color="auto" w:fill="FFFFFF"/>
              </w:rPr>
              <w:t xml:space="preserve">. </w:t>
            </w:r>
            <w:r w:rsidRPr="008A2CD0">
              <w:rPr>
                <w:rFonts w:ascii="Times New Roman" w:hAnsi="Times New Roman"/>
                <w:sz w:val="24"/>
                <w:szCs w:val="24"/>
                <w:shd w:val="clear" w:color="auto" w:fill="FFFFFF"/>
              </w:rPr>
              <w:t>Savukārt, Pašvaldību likuma 44. panta otrā daļa noteic, ka dome var izdot saistošos noteikumus, lai nodrošinātu pašvaldības autonomo funkciju un brīvprātīgo iniciatīvu izpildi, ievērojot likumos vai Ministru kabineta noteikumos paredzēto funkciju izpildes kārtību.</w:t>
            </w:r>
          </w:p>
          <w:p w14:paraId="2B22E421" w14:textId="62C9BC07" w:rsidR="008A2CD0" w:rsidRPr="00C25AEC" w:rsidRDefault="008A2CD0" w:rsidP="003C422D">
            <w:pPr>
              <w:widowControl/>
              <w:spacing w:after="0" w:line="240" w:lineRule="auto"/>
              <w:ind w:right="102" w:firstLine="421"/>
              <w:jc w:val="both"/>
              <w:textAlignment w:val="baseline"/>
              <w:rPr>
                <w:rFonts w:ascii="Times New Roman" w:hAnsi="Times New Roman"/>
                <w:sz w:val="24"/>
                <w:szCs w:val="24"/>
              </w:rPr>
            </w:pPr>
            <w:r w:rsidRPr="00C25AEC">
              <w:rPr>
                <w:rFonts w:ascii="Times New Roman" w:hAnsi="Times New Roman"/>
                <w:sz w:val="24"/>
                <w:szCs w:val="24"/>
              </w:rPr>
              <w:t xml:space="preserve">Līdz ar to, pašvaldība ir izvērtējusi Saistošos noteikumus Nr. 19 un sagatavojusi </w:t>
            </w:r>
            <w:r w:rsidR="009C0F24" w:rsidRPr="00C25AEC">
              <w:rPr>
                <w:rFonts w:ascii="Times New Roman" w:hAnsi="Times New Roman"/>
                <w:sz w:val="24"/>
                <w:szCs w:val="24"/>
              </w:rPr>
              <w:t>tajos grozījumus:</w:t>
            </w:r>
          </w:p>
          <w:p w14:paraId="68C95BC2" w14:textId="23EC540B" w:rsidR="009C0F24" w:rsidRPr="00C25AEC" w:rsidRDefault="009C0F24" w:rsidP="009C0F24">
            <w:pPr>
              <w:pStyle w:val="ListParagraph"/>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t>izsakot saistošo noteikumu izdošanas tiesisko pamatojumu jaunā redakcijā;</w:t>
            </w:r>
          </w:p>
          <w:p w14:paraId="1FD08F8A" w14:textId="0246B1DA" w:rsidR="009C0F24" w:rsidRPr="00C25AEC" w:rsidRDefault="009C0F24" w:rsidP="009C0F24">
            <w:pPr>
              <w:pStyle w:val="ListParagraph"/>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bCs/>
                <w:sz w:val="24"/>
                <w:szCs w:val="24"/>
              </w:rPr>
              <w:t>precizējot saistošajos noteikumos izmantotos terminus atbilstoši Administratīvo teritoriju un apdzīvoto vietu likumā noteiktajam pašvaldības administratīvās teritorijas apzīmējumam (grozījums Saistošo noteikumu Nr. 19 nosaukumā, 1.1. apakšpunktā, 12., 12.</w:t>
            </w:r>
            <w:r w:rsidRPr="00C25AEC">
              <w:rPr>
                <w:rFonts w:ascii="Times New Roman" w:hAnsi="Times New Roman"/>
                <w:bCs/>
                <w:sz w:val="24"/>
                <w:szCs w:val="24"/>
                <w:vertAlign w:val="superscript"/>
              </w:rPr>
              <w:t xml:space="preserve">1 </w:t>
            </w:r>
            <w:r w:rsidRPr="00C25AEC">
              <w:rPr>
                <w:rFonts w:ascii="Times New Roman" w:hAnsi="Times New Roman"/>
                <w:bCs/>
                <w:sz w:val="24"/>
                <w:szCs w:val="24"/>
              </w:rPr>
              <w:t>un 12.</w:t>
            </w:r>
            <w:r w:rsidRPr="00C25AEC">
              <w:rPr>
                <w:rFonts w:ascii="Times New Roman" w:hAnsi="Times New Roman"/>
                <w:bCs/>
                <w:sz w:val="24"/>
                <w:szCs w:val="24"/>
                <w:vertAlign w:val="superscript"/>
              </w:rPr>
              <w:t>2</w:t>
            </w:r>
            <w:r w:rsidRPr="00C25AEC">
              <w:rPr>
                <w:rFonts w:ascii="Times New Roman" w:hAnsi="Times New Roman"/>
                <w:bCs/>
                <w:sz w:val="24"/>
                <w:szCs w:val="24"/>
              </w:rPr>
              <w:t xml:space="preserve"> punktā, 22.6. apakšpunktā, 25. un 33. punktā);</w:t>
            </w:r>
          </w:p>
          <w:p w14:paraId="6519B200" w14:textId="77777777" w:rsidR="00C25AEC" w:rsidRPr="00C25AEC" w:rsidRDefault="009C0F24" w:rsidP="00C25AEC">
            <w:pPr>
              <w:pStyle w:val="ListParagraph"/>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t xml:space="preserve">precizējot </w:t>
            </w:r>
            <w:r w:rsidR="00C25AEC" w:rsidRPr="00C25AEC">
              <w:rPr>
                <w:rFonts w:ascii="Times New Roman" w:hAnsi="Times New Roman"/>
                <w:sz w:val="24"/>
                <w:szCs w:val="24"/>
              </w:rPr>
              <w:t xml:space="preserve">saistošo noteikumu tekstā </w:t>
            </w:r>
            <w:r w:rsidRPr="00C25AEC">
              <w:rPr>
                <w:rFonts w:ascii="Times New Roman" w:hAnsi="Times New Roman"/>
                <w:sz w:val="24"/>
                <w:szCs w:val="24"/>
              </w:rPr>
              <w:t xml:space="preserve">pašvaldības institūcijas nosaukumu (grozījums Saistošo noteikumu Nr. 19 </w:t>
            </w:r>
            <w:r w:rsidR="00C25AEC" w:rsidRPr="00C25AEC">
              <w:rPr>
                <w:rFonts w:ascii="Times New Roman" w:hAnsi="Times New Roman"/>
                <w:sz w:val="24"/>
                <w:szCs w:val="24"/>
              </w:rPr>
              <w:t>26.</w:t>
            </w:r>
            <w:r w:rsidR="00C25AEC" w:rsidRPr="00C25AEC">
              <w:rPr>
                <w:rFonts w:ascii="Times New Roman" w:hAnsi="Times New Roman"/>
                <w:sz w:val="24"/>
                <w:szCs w:val="24"/>
                <w:vertAlign w:val="superscript"/>
              </w:rPr>
              <w:t>4</w:t>
            </w:r>
            <w:r w:rsidR="00C25AEC" w:rsidRPr="00C25AEC">
              <w:rPr>
                <w:rFonts w:ascii="Times New Roman" w:hAnsi="Times New Roman"/>
                <w:sz w:val="24"/>
                <w:szCs w:val="24"/>
              </w:rPr>
              <w:t xml:space="preserve"> punktā</w:t>
            </w:r>
            <w:r w:rsidRPr="00C25AEC">
              <w:rPr>
                <w:rFonts w:ascii="Times New Roman" w:hAnsi="Times New Roman"/>
                <w:sz w:val="24"/>
                <w:szCs w:val="24"/>
              </w:rPr>
              <w:t>)</w:t>
            </w:r>
            <w:r w:rsidR="00C25AEC" w:rsidRPr="00C25AEC">
              <w:rPr>
                <w:rFonts w:ascii="Times New Roman" w:hAnsi="Times New Roman"/>
                <w:sz w:val="24"/>
                <w:szCs w:val="24"/>
              </w:rPr>
              <w:t>;</w:t>
            </w:r>
          </w:p>
          <w:p w14:paraId="7682FB4C" w14:textId="73A7BC1B" w:rsidR="00D61446" w:rsidRPr="00C25AEC" w:rsidRDefault="00C25AEC" w:rsidP="00C25AEC">
            <w:pPr>
              <w:pStyle w:val="ListParagraph"/>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t xml:space="preserve">precizējot saistošo noteikumu tekstā </w:t>
            </w:r>
            <w:r w:rsidRPr="00C25AEC">
              <w:rPr>
                <w:rFonts w:ascii="Times New Roman" w:eastAsia="Times New Roman" w:hAnsi="Times New Roman"/>
                <w:sz w:val="24"/>
                <w:szCs w:val="24"/>
              </w:rPr>
              <w:t xml:space="preserve">valsts pārvaldes pakalpojumu portāla </w:t>
            </w:r>
            <w:r w:rsidR="00CA602A">
              <w:rPr>
                <w:rFonts w:ascii="Times New Roman" w:eastAsia="Times New Roman" w:hAnsi="Times New Roman"/>
                <w:sz w:val="24"/>
                <w:szCs w:val="24"/>
              </w:rPr>
              <w:t xml:space="preserve">tīmekļa </w:t>
            </w:r>
            <w:r w:rsidRPr="00C25AEC">
              <w:rPr>
                <w:rFonts w:ascii="Times New Roman" w:eastAsia="Times New Roman" w:hAnsi="Times New Roman"/>
                <w:sz w:val="24"/>
                <w:szCs w:val="24"/>
              </w:rPr>
              <w:t>vietnes adresi (grozījums Saistošo noteikumu Nr. 19 6. punktā).</w:t>
            </w:r>
          </w:p>
        </w:tc>
      </w:tr>
      <w:tr w:rsidR="000C5B40" w:rsidRPr="009E05F5" w14:paraId="474E86B5" w14:textId="77777777" w:rsidTr="00740863">
        <w:trPr>
          <w:trHeight w:val="1346"/>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06521E5C"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budžetu neietekmē.</w:t>
            </w:r>
          </w:p>
          <w:p w14:paraId="60C6D7B8" w14:textId="176364A0" w:rsidR="00EF38CC" w:rsidRPr="00001F32" w:rsidRDefault="00EF38CC" w:rsidP="00DA3704">
            <w:pPr>
              <w:pStyle w:val="tv213"/>
              <w:shd w:val="clear" w:color="auto" w:fill="FFFFFF"/>
              <w:spacing w:before="0" w:beforeAutospacing="0" w:after="0" w:afterAutospacing="0" w:line="293" w:lineRule="atLeast"/>
              <w:ind w:firstLine="421"/>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220DC809" w:rsidR="003A1291" w:rsidRDefault="003A1291" w:rsidP="003A1291">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 jo </w:t>
            </w:r>
            <w:r w:rsidR="00CB35C2">
              <w:rPr>
                <w:rFonts w:ascii="Times New Roman" w:hAnsi="Times New Roman"/>
                <w:sz w:val="24"/>
                <w:szCs w:val="24"/>
                <w:shd w:val="clear" w:color="auto" w:fill="FFFFFF"/>
              </w:rPr>
              <w:t xml:space="preserve">saistošo noteikumu projekts vērsts tikai </w:t>
            </w:r>
            <w:r w:rsidR="00C25AEC">
              <w:rPr>
                <w:rFonts w:ascii="Times New Roman" w:hAnsi="Times New Roman"/>
                <w:sz w:val="24"/>
                <w:szCs w:val="24"/>
                <w:shd w:val="clear" w:color="auto" w:fill="FFFFFF"/>
              </w:rPr>
              <w:t>Saistošo noteikumu Nr. 19 izdošanas tiesiskā pamatojuma un teksta precizēšanu</w:t>
            </w:r>
            <w:r>
              <w:rPr>
                <w:rFonts w:ascii="Times New Roman" w:eastAsia="Times New Roman" w:hAnsi="Times New Roman"/>
                <w:sz w:val="24"/>
                <w:szCs w:val="24"/>
                <w:lang w:eastAsia="lv-LV"/>
              </w:rPr>
              <w:t>.</w:t>
            </w:r>
          </w:p>
          <w:p w14:paraId="69E3C9AE" w14:textId="4A4ABB23" w:rsidR="00EC7DF3" w:rsidRPr="005B2AD3" w:rsidRDefault="00EC7DF3" w:rsidP="00C25AEC">
            <w:pPr>
              <w:pStyle w:val="ListParagraph"/>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C25AEC">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3C81BFA7" w:rsidR="00DD4768" w:rsidRP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Saistošie noteikumi izstrādāti Pašvaldību likuma 4. panta pirmās daļas </w:t>
            </w:r>
            <w:r>
              <w:rPr>
                <w:rFonts w:ascii="Times New Roman" w:eastAsia="Times New Roman" w:hAnsi="Times New Roman"/>
                <w:sz w:val="24"/>
                <w:szCs w:val="24"/>
                <w:lang w:eastAsia="lv-LV"/>
              </w:rPr>
              <w:t>4</w:t>
            </w:r>
            <w:r w:rsidRPr="003772FD">
              <w:rPr>
                <w:rFonts w:ascii="Times New Roman" w:eastAsia="Times New Roman" w:hAnsi="Times New Roman"/>
                <w:sz w:val="24"/>
                <w:szCs w:val="24"/>
                <w:lang w:eastAsia="lv-LV"/>
              </w:rPr>
              <w:t>. punktā noteiktās autonomās funkcijas izpildei –</w:t>
            </w:r>
            <w:r w:rsidR="00CA602A">
              <w:rPr>
                <w:rFonts w:ascii="Times New Roman" w:eastAsia="Times New Roman" w:hAnsi="Times New Roman"/>
                <w:sz w:val="24"/>
                <w:szCs w:val="24"/>
                <w:lang w:eastAsia="lv-LV"/>
              </w:rPr>
              <w:t xml:space="preserve"> </w:t>
            </w:r>
            <w:r w:rsidRPr="00DD4768">
              <w:rPr>
                <w:rFonts w:ascii="Times New Roman" w:hAnsi="Times New Roman"/>
                <w:sz w:val="24"/>
                <w:szCs w:val="24"/>
                <w:shd w:val="clear" w:color="auto" w:fill="FFFFFF"/>
              </w:rPr>
              <w:t>gādāt par pirmsskolas izglītības</w:t>
            </w:r>
            <w:r w:rsidR="00CA602A">
              <w:rPr>
                <w:rFonts w:ascii="Times New Roman" w:hAnsi="Times New Roman"/>
                <w:sz w:val="24"/>
                <w:szCs w:val="24"/>
                <w:shd w:val="clear" w:color="auto" w:fill="FFFFFF"/>
              </w:rPr>
              <w:t xml:space="preserve"> </w:t>
            </w:r>
            <w:r w:rsidRPr="00DD4768">
              <w:rPr>
                <w:rFonts w:ascii="Times New Roman" w:hAnsi="Times New Roman"/>
                <w:sz w:val="24"/>
                <w:szCs w:val="24"/>
                <w:shd w:val="clear" w:color="auto" w:fill="FFFFFF"/>
              </w:rPr>
              <w:t>pieejamību</w:t>
            </w:r>
            <w:r w:rsidRPr="00DD4768">
              <w:rPr>
                <w:rFonts w:ascii="Times New Roman" w:hAnsi="Times New Roman"/>
                <w:sz w:val="24"/>
                <w:szCs w:val="24"/>
              </w:rPr>
              <w:t>.</w:t>
            </w:r>
          </w:p>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2983928" w:rsidR="000C5B40" w:rsidRPr="005D646E" w:rsidRDefault="00DD4768"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Pr="00371364">
              <w:rPr>
                <w:rFonts w:ascii="Times New Roman" w:hAnsi="Times New Roman"/>
                <w:sz w:val="24"/>
                <w:szCs w:val="24"/>
                <w:shd w:val="clear" w:color="auto" w:fill="FFFFFF"/>
              </w:rPr>
              <w:t>organizē</w:t>
            </w:r>
            <w:r>
              <w:rPr>
                <w:rFonts w:ascii="Times New Roman" w:hAnsi="Times New Roman"/>
                <w:sz w:val="24"/>
                <w:szCs w:val="24"/>
                <w:shd w:val="clear" w:color="auto" w:fill="FFFFFF"/>
              </w:rPr>
              <w:t>s</w:t>
            </w:r>
            <w:r w:rsidRPr="00371364">
              <w:rPr>
                <w:rFonts w:ascii="Times New Roman" w:hAnsi="Times New Roman"/>
                <w:sz w:val="24"/>
                <w:szCs w:val="24"/>
                <w:shd w:val="clear" w:color="auto" w:fill="FFFFFF"/>
              </w:rPr>
              <w:t xml:space="preserve"> un nodrošin</w:t>
            </w:r>
            <w:r>
              <w:rPr>
                <w:rFonts w:ascii="Times New Roman" w:hAnsi="Times New Roman"/>
                <w:sz w:val="24"/>
                <w:szCs w:val="24"/>
                <w:shd w:val="clear" w:color="auto" w:fill="FFFFFF"/>
              </w:rPr>
              <w:t>ās</w:t>
            </w:r>
            <w:r w:rsidRPr="00371364">
              <w:rPr>
                <w:rFonts w:ascii="Times New Roman" w:hAnsi="Times New Roman"/>
                <w:sz w:val="24"/>
                <w:szCs w:val="24"/>
                <w:shd w:val="clear" w:color="auto" w:fill="FFFFFF"/>
              </w:rPr>
              <w:t xml:space="preserve"> </w:t>
            </w:r>
            <w:r w:rsidR="00C25AEC">
              <w:rPr>
                <w:rFonts w:ascii="Times New Roman" w:hAnsi="Times New Roman"/>
                <w:bCs/>
                <w:sz w:val="24"/>
                <w:szCs w:val="24"/>
              </w:rPr>
              <w:t>Daugavpils pilsētas Izglītības pārvalde (</w:t>
            </w:r>
            <w:hyperlink r:id="rId8" w:history="1">
              <w:r w:rsidR="00C25AEC" w:rsidRPr="00237F90">
                <w:rPr>
                  <w:rStyle w:val="Hyperlink"/>
                  <w:rFonts w:ascii="Times New Roman" w:hAnsi="Times New Roman"/>
                  <w:bCs/>
                  <w:sz w:val="24"/>
                  <w:szCs w:val="24"/>
                </w:rPr>
                <w:t>https://izglitiba.daugavpils.lv/kontakti/</w:t>
              </w:r>
            </w:hyperlink>
            <w:r w:rsidR="00C25AEC">
              <w:rPr>
                <w:rFonts w:ascii="Times New Roman" w:hAnsi="Times New Roman"/>
                <w:bCs/>
                <w:sz w:val="24"/>
                <w:szCs w:val="24"/>
              </w:rPr>
              <w:t>)</w:t>
            </w:r>
            <w:r w:rsidRPr="00371364">
              <w:rPr>
                <w:rFonts w:ascii="Times New Roman" w:hAnsi="Times New Roman"/>
                <w:sz w:val="24"/>
                <w:szCs w:val="24"/>
                <w:shd w:val="clear" w:color="auto" w:fill="FFFFFF"/>
              </w:rPr>
              <w:t xml:space="preserve">. </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6BAC4" w14:textId="77777777" w:rsidR="00905B2C"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315CC6">
              <w:rPr>
                <w:rFonts w:ascii="Times New Roman" w:eastAsia="Times New Roman" w:hAnsi="Times New Roman"/>
                <w:sz w:val="24"/>
                <w:szCs w:val="24"/>
                <w:lang w:eastAsia="lv-LV"/>
              </w:rPr>
              <w:t>24</w:t>
            </w:r>
            <w:r w:rsidRPr="00223082">
              <w:rPr>
                <w:rFonts w:ascii="Times New Roman" w:eastAsia="Times New Roman" w:hAnsi="Times New Roman"/>
                <w:sz w:val="24"/>
                <w:szCs w:val="24"/>
                <w:lang w:eastAsia="lv-LV"/>
              </w:rPr>
              <w:t xml:space="preserve">. </w:t>
            </w:r>
            <w:r w:rsidR="00315CC6">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315CC6">
              <w:rPr>
                <w:rFonts w:ascii="Times New Roman" w:eastAsia="Times New Roman" w:hAnsi="Times New Roman"/>
                <w:sz w:val="24"/>
                <w:szCs w:val="24"/>
                <w:lang w:eastAsia="lv-LV"/>
              </w:rPr>
              <w:t>7</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315CC6">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p>
          <w:p w14:paraId="70428F93" w14:textId="42279B93" w:rsidR="000C5B40" w:rsidRPr="00902FB2" w:rsidRDefault="00905B2C" w:rsidP="00905B2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r w:rsidR="005402C9">
              <w:rPr>
                <w:rFonts w:ascii="Times New Roman" w:eastAsia="Times New Roman" w:hAnsi="Times New Roman"/>
                <w:sz w:val="24"/>
                <w:szCs w:val="24"/>
                <w:lang w:eastAsia="lv-LV"/>
              </w:rPr>
              <w:t xml:space="preserve"> </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6F19EB03" w14:textId="77777777" w:rsidR="00747C52" w:rsidRPr="00747C52" w:rsidRDefault="00747C52" w:rsidP="00747C52">
      <w:pPr>
        <w:spacing w:after="0" w:line="240" w:lineRule="auto"/>
        <w:rPr>
          <w:rFonts w:ascii="Times New Roman" w:eastAsia="Times New Roman" w:hAnsi="Times New Roman"/>
          <w:sz w:val="24"/>
          <w:szCs w:val="24"/>
        </w:rPr>
      </w:pPr>
      <w:r w:rsidRPr="00747C52">
        <w:rPr>
          <w:rFonts w:ascii="Times New Roman" w:hAnsi="Times New Roman"/>
          <w:sz w:val="24"/>
          <w:szCs w:val="24"/>
        </w:rPr>
        <w:t xml:space="preserve">Daugavpils </w:t>
      </w:r>
      <w:proofErr w:type="spellStart"/>
      <w:r w:rsidRPr="00747C52">
        <w:rPr>
          <w:rFonts w:ascii="Times New Roman" w:hAnsi="Times New Roman"/>
          <w:sz w:val="24"/>
          <w:szCs w:val="24"/>
        </w:rPr>
        <w:t>valstspilsētas</w:t>
      </w:r>
      <w:proofErr w:type="spellEnd"/>
      <w:r w:rsidRPr="00747C52">
        <w:rPr>
          <w:rFonts w:ascii="Times New Roman" w:hAnsi="Times New Roman"/>
          <w:sz w:val="24"/>
          <w:szCs w:val="24"/>
        </w:rPr>
        <w:t xml:space="preserve"> pašvaldības </w:t>
      </w:r>
    </w:p>
    <w:p w14:paraId="5059C57B" w14:textId="77777777" w:rsidR="00747C52" w:rsidRPr="00747C52" w:rsidRDefault="00747C52" w:rsidP="00747C52">
      <w:pPr>
        <w:spacing w:after="0" w:line="240" w:lineRule="auto"/>
        <w:rPr>
          <w:rFonts w:ascii="Times New Roman" w:eastAsia="Arial Unicode MS" w:hAnsi="Times New Roman"/>
          <w:sz w:val="24"/>
          <w:szCs w:val="24"/>
          <w:lang w:eastAsia="ru-RU"/>
        </w:rPr>
      </w:pPr>
      <w:r w:rsidRPr="00747C52">
        <w:rPr>
          <w:rFonts w:ascii="Times New Roman" w:hAnsi="Times New Roman"/>
          <w:sz w:val="24"/>
          <w:szCs w:val="24"/>
        </w:rPr>
        <w:t xml:space="preserve">domes priekšsēdētājs </w:t>
      </w:r>
      <w:r w:rsidRPr="00747C52">
        <w:rPr>
          <w:rFonts w:ascii="Times New Roman" w:hAnsi="Times New Roman"/>
          <w:sz w:val="24"/>
          <w:szCs w:val="24"/>
        </w:rPr>
        <w:tab/>
      </w:r>
      <w:r w:rsidRPr="00747C52">
        <w:rPr>
          <w:rFonts w:ascii="Times New Roman" w:hAnsi="Times New Roman"/>
          <w:sz w:val="24"/>
          <w:szCs w:val="24"/>
        </w:rPr>
        <w:tab/>
      </w:r>
      <w:r w:rsidRPr="00747C52">
        <w:rPr>
          <w:rFonts w:ascii="Times New Roman" w:hAnsi="Times New Roman"/>
          <w:sz w:val="24"/>
          <w:szCs w:val="24"/>
        </w:rPr>
        <w:tab/>
      </w:r>
      <w:r w:rsidRPr="00747C52">
        <w:rPr>
          <w:rFonts w:ascii="Times New Roman" w:hAnsi="Times New Roman"/>
          <w:i/>
          <w:sz w:val="24"/>
          <w:szCs w:val="24"/>
        </w:rPr>
        <w:t>(personīgais paraksts)</w:t>
      </w:r>
      <w:r w:rsidRPr="00747C52">
        <w:rPr>
          <w:rFonts w:ascii="Times New Roman" w:hAnsi="Times New Roman"/>
          <w:i/>
          <w:sz w:val="24"/>
          <w:szCs w:val="24"/>
        </w:rPr>
        <w:tab/>
        <w:t xml:space="preserve">            </w:t>
      </w:r>
      <w:r w:rsidRPr="00747C52">
        <w:rPr>
          <w:rFonts w:ascii="Times New Roman" w:hAnsi="Times New Roman"/>
          <w:sz w:val="24"/>
          <w:szCs w:val="24"/>
        </w:rPr>
        <w:t xml:space="preserve">                     A.Elksniņš          </w:t>
      </w:r>
    </w:p>
    <w:p w14:paraId="394177B9" w14:textId="08581CEB" w:rsidR="00E078B2" w:rsidRDefault="00E078B2" w:rsidP="00747C52">
      <w:pPr>
        <w:spacing w:after="0" w:line="240" w:lineRule="auto"/>
        <w:rPr>
          <w:rFonts w:ascii="Times New Roman" w:hAnsi="Times New Roman"/>
          <w:sz w:val="24"/>
          <w:szCs w:val="24"/>
        </w:rPr>
      </w:pPr>
    </w:p>
    <w:p w14:paraId="7F8A18A1" w14:textId="77777777" w:rsidR="00E078B2" w:rsidRPr="00E078B2" w:rsidRDefault="00E078B2" w:rsidP="00E078B2">
      <w:pPr>
        <w:rPr>
          <w:rFonts w:ascii="Times New Roman" w:hAnsi="Times New Roman"/>
          <w:sz w:val="24"/>
          <w:szCs w:val="24"/>
        </w:rPr>
      </w:pPr>
    </w:p>
    <w:p w14:paraId="76FC4D54" w14:textId="77777777" w:rsidR="00E078B2" w:rsidRPr="00E078B2" w:rsidRDefault="00E078B2" w:rsidP="00E078B2">
      <w:pPr>
        <w:rPr>
          <w:rFonts w:ascii="Times New Roman" w:hAnsi="Times New Roman"/>
          <w:sz w:val="24"/>
          <w:szCs w:val="24"/>
        </w:rPr>
      </w:pPr>
    </w:p>
    <w:p w14:paraId="601180F9" w14:textId="77777777" w:rsidR="00E078B2" w:rsidRPr="00E078B2" w:rsidRDefault="00E078B2" w:rsidP="00E078B2">
      <w:pPr>
        <w:rPr>
          <w:rFonts w:ascii="Times New Roman" w:hAnsi="Times New Roman"/>
          <w:sz w:val="24"/>
          <w:szCs w:val="24"/>
        </w:rPr>
      </w:pPr>
    </w:p>
    <w:p w14:paraId="4AECF333" w14:textId="77777777" w:rsidR="00E078B2" w:rsidRPr="00E078B2" w:rsidRDefault="00E078B2" w:rsidP="00E078B2">
      <w:pPr>
        <w:rPr>
          <w:rFonts w:ascii="Times New Roman" w:hAnsi="Times New Roman"/>
          <w:sz w:val="24"/>
          <w:szCs w:val="24"/>
        </w:rPr>
      </w:pPr>
    </w:p>
    <w:p w14:paraId="0CCC57A9" w14:textId="77777777" w:rsidR="00E078B2" w:rsidRPr="00E078B2" w:rsidRDefault="00E078B2" w:rsidP="00E078B2">
      <w:pPr>
        <w:rPr>
          <w:rFonts w:ascii="Times New Roman" w:hAnsi="Times New Roman"/>
          <w:sz w:val="24"/>
          <w:szCs w:val="24"/>
        </w:rPr>
      </w:pPr>
    </w:p>
    <w:p w14:paraId="375A1D71" w14:textId="7F189984" w:rsidR="00740863" w:rsidRPr="00E078B2" w:rsidRDefault="00E078B2" w:rsidP="00E078B2">
      <w:pPr>
        <w:jc w:val="center"/>
        <w:rPr>
          <w:rFonts w:ascii="Times New Roman" w:hAnsi="Times New Roman"/>
          <w:sz w:val="24"/>
          <w:szCs w:val="24"/>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740863" w:rsidRPr="00E078B2"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E078B2">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5CC6"/>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422D"/>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0863"/>
    <w:rsid w:val="0074543E"/>
    <w:rsid w:val="00746760"/>
    <w:rsid w:val="007471B9"/>
    <w:rsid w:val="0074779C"/>
    <w:rsid w:val="00747C52"/>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B4C4B"/>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5B2C"/>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DF7E37"/>
    <w:rsid w:val="00E0218F"/>
    <w:rsid w:val="00E02618"/>
    <w:rsid w:val="00E03CE1"/>
    <w:rsid w:val="00E04BBD"/>
    <w:rsid w:val="00E07415"/>
    <w:rsid w:val="00E078B2"/>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E1D"/>
    <w:rsid w:val="00E67538"/>
    <w:rsid w:val="00E753DE"/>
    <w:rsid w:val="00E835FC"/>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DF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2508065">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22855143">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792865424">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glitiba.daugavpils.lv/kont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23C3-E162-48EF-B66E-C8074770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4146</TotalTime>
  <Pages>2</Pages>
  <Words>3073</Words>
  <Characters>1752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Limbēna</dc:creator>
  <cp:keywords/>
  <dc:description/>
  <cp:lastModifiedBy>Simona Rimcane</cp:lastModifiedBy>
  <cp:revision>287</cp:revision>
  <cp:lastPrinted>2024-02-21T07:14:00Z</cp:lastPrinted>
  <dcterms:created xsi:type="dcterms:W3CDTF">2023-03-09T09:00:00Z</dcterms:created>
  <dcterms:modified xsi:type="dcterms:W3CDTF">2024-02-21T12:39:00Z</dcterms:modified>
</cp:coreProperties>
</file>