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C8" w:rsidRPr="00390625" w:rsidRDefault="001938C8" w:rsidP="001938C8">
      <w:pPr>
        <w:tabs>
          <w:tab w:val="left" w:pos="3960"/>
        </w:tabs>
        <w:jc w:val="center"/>
        <w:rPr>
          <w:b/>
          <w:sz w:val="28"/>
          <w:szCs w:val="20"/>
        </w:rPr>
      </w:pPr>
      <w:r w:rsidRPr="00390625">
        <w:rPr>
          <w:b/>
          <w:noProof/>
          <w:sz w:val="28"/>
          <w:szCs w:val="20"/>
          <w:lang w:eastAsia="lv-LV"/>
        </w:rPr>
        <w:drawing>
          <wp:inline distT="0" distB="0" distL="0" distR="0" wp14:anchorId="3244105F" wp14:editId="7834EB5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C8" w:rsidRPr="00390625" w:rsidRDefault="001938C8" w:rsidP="001938C8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390625">
        <w:rPr>
          <w:bCs/>
          <w:sz w:val="28"/>
          <w:szCs w:val="20"/>
        </w:rPr>
        <w:t xml:space="preserve">  LATVIJAS REPUBLIKAS</w:t>
      </w:r>
    </w:p>
    <w:p w:rsidR="001938C8" w:rsidRPr="00390625" w:rsidRDefault="001938C8" w:rsidP="001938C8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39062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3673B4" wp14:editId="4101924A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5838825" cy="0"/>
                <wp:effectExtent l="0" t="0" r="28575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C2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456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90625">
        <w:rPr>
          <w:b/>
          <w:sz w:val="28"/>
          <w:szCs w:val="20"/>
        </w:rPr>
        <w:t>DAUGAVPILS PILSĒTAS DOME</w:t>
      </w:r>
    </w:p>
    <w:p w:rsidR="001938C8" w:rsidRPr="00390625" w:rsidRDefault="001938C8" w:rsidP="001938C8">
      <w:pPr>
        <w:ind w:right="-1"/>
        <w:jc w:val="center"/>
        <w:rPr>
          <w:sz w:val="20"/>
          <w:szCs w:val="20"/>
        </w:rPr>
      </w:pPr>
      <w:r w:rsidRPr="00390625">
        <w:rPr>
          <w:sz w:val="20"/>
          <w:szCs w:val="20"/>
        </w:rPr>
        <w:t>Reģ. Nr. 90000077325, K. Valdemāra iela 1, Daugavpils, LV-5401, tālr. 6</w:t>
      </w:r>
      <w:r w:rsidRPr="00390625">
        <w:rPr>
          <w:sz w:val="20"/>
          <w:szCs w:val="20"/>
          <w:lang w:val="pl-PL"/>
        </w:rPr>
        <w:t>5404344, 65404368, fakss 65421941</w:t>
      </w:r>
      <w:r w:rsidRPr="00390625">
        <w:rPr>
          <w:sz w:val="20"/>
          <w:szCs w:val="20"/>
        </w:rPr>
        <w:t xml:space="preserve"> </w:t>
      </w:r>
    </w:p>
    <w:p w:rsidR="001938C8" w:rsidRPr="00390625" w:rsidRDefault="001938C8" w:rsidP="001938C8">
      <w:pPr>
        <w:ind w:right="-341"/>
        <w:jc w:val="center"/>
        <w:rPr>
          <w:sz w:val="20"/>
          <w:szCs w:val="20"/>
          <w:u w:val="single"/>
        </w:rPr>
      </w:pPr>
      <w:r w:rsidRPr="00390625">
        <w:rPr>
          <w:sz w:val="20"/>
          <w:szCs w:val="20"/>
        </w:rPr>
        <w:t xml:space="preserve">e-pasts info@daugavpils.lv   </w:t>
      </w:r>
      <w:r w:rsidRPr="00390625">
        <w:rPr>
          <w:sz w:val="20"/>
          <w:szCs w:val="20"/>
          <w:u w:val="single"/>
        </w:rPr>
        <w:t>www.daugavpils.lv</w:t>
      </w:r>
    </w:p>
    <w:p w:rsidR="0085677D" w:rsidRDefault="0085677D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</w:p>
    <w:p w:rsidR="00482C07" w:rsidRDefault="00482C07" w:rsidP="00FF5328">
      <w:pPr>
        <w:pStyle w:val="NormalWeb"/>
        <w:spacing w:after="0"/>
      </w:pPr>
      <w:bookmarkStart w:id="0" w:name="_GoBack"/>
      <w:bookmarkEnd w:id="0"/>
    </w:p>
    <w:p w:rsidR="00482C07" w:rsidRDefault="00482C07" w:rsidP="00FF5328">
      <w:pPr>
        <w:pStyle w:val="NormalWeb"/>
        <w:spacing w:after="0"/>
      </w:pPr>
    </w:p>
    <w:p w:rsidR="0059537C" w:rsidRPr="00FF5328" w:rsidRDefault="0059537C" w:rsidP="00FF5328">
      <w:pPr>
        <w:pStyle w:val="NormalWeb"/>
        <w:spacing w:after="0"/>
      </w:pPr>
    </w:p>
    <w:p w:rsidR="00E46000" w:rsidRPr="00FF5328" w:rsidRDefault="00E46000" w:rsidP="00FF5328">
      <w:pPr>
        <w:pStyle w:val="NormalWeb"/>
        <w:spacing w:after="0"/>
      </w:pPr>
      <w:r w:rsidRPr="00FF5328">
        <w:t>2020</w:t>
      </w:r>
      <w:r w:rsidR="005F0341" w:rsidRPr="00FF5328">
        <w:t xml:space="preserve">.gada </w:t>
      </w:r>
      <w:r w:rsidR="00B90961">
        <w:t>19</w:t>
      </w:r>
      <w:r w:rsidR="00482C07">
        <w:t>.novembrī</w:t>
      </w:r>
      <w:r w:rsidR="005F0341" w:rsidRPr="00FF5328">
        <w:t xml:space="preserve">                     </w:t>
      </w:r>
      <w:r w:rsidRPr="00FF5328">
        <w:tab/>
      </w:r>
      <w:r w:rsidRPr="00FF5328">
        <w:tab/>
      </w:r>
      <w:r w:rsidRPr="00FF5328">
        <w:tab/>
      </w:r>
      <w:r w:rsidRPr="00FF5328">
        <w:tab/>
      </w:r>
      <w:r w:rsidR="0060127D" w:rsidRPr="00FF5328">
        <w:rPr>
          <w:b/>
        </w:rPr>
        <w:t xml:space="preserve">Saistošie noteikumi </w:t>
      </w:r>
      <w:r w:rsidR="005F0341" w:rsidRPr="00FF5328">
        <w:rPr>
          <w:b/>
        </w:rPr>
        <w:t>Nr.</w:t>
      </w:r>
      <w:r w:rsidR="00E85155">
        <w:rPr>
          <w:b/>
        </w:rPr>
        <w:t>45</w:t>
      </w:r>
    </w:p>
    <w:p w:rsidR="00E46000" w:rsidRPr="00FF5328" w:rsidRDefault="00E46000" w:rsidP="00FF5328">
      <w:pPr>
        <w:pStyle w:val="NormalWeb"/>
        <w:spacing w:after="0"/>
      </w:pPr>
      <w:r w:rsidRPr="00FF5328">
        <w:t>Dauga</w:t>
      </w:r>
      <w:r w:rsidR="00A27A19" w:rsidRPr="00FF5328">
        <w:t>vpilī</w:t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</w:r>
      <w:r w:rsidR="00A27A19" w:rsidRPr="00FF5328">
        <w:tab/>
        <w:t>(</w:t>
      </w:r>
      <w:r w:rsidR="00D01CD4">
        <w:t>protokols Nr.47</w:t>
      </w:r>
      <w:r w:rsidR="002B3BF9" w:rsidRPr="00FF5328">
        <w:t xml:space="preserve">, </w:t>
      </w:r>
      <w:r w:rsidR="004751AC">
        <w:t>7</w:t>
      </w:r>
      <w:r w:rsidRPr="00FF5328">
        <w:t>.§)</w:t>
      </w:r>
    </w:p>
    <w:p w:rsidR="00E46000" w:rsidRPr="00FF5328" w:rsidRDefault="00E46000" w:rsidP="00FF5328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>APSTIPRINĀTI</w:t>
      </w:r>
    </w:p>
    <w:p w:rsidR="00E46000" w:rsidRPr="00FF5328" w:rsidRDefault="00E46000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ar Daugavpils pilsētas domes </w:t>
      </w:r>
    </w:p>
    <w:p w:rsidR="005F0341" w:rsidRPr="00FF5328" w:rsidRDefault="005F0341" w:rsidP="00FF5328">
      <w:pPr>
        <w:ind w:left="5812"/>
        <w:rPr>
          <w:sz w:val="24"/>
          <w:szCs w:val="24"/>
        </w:rPr>
      </w:pPr>
      <w:r w:rsidRPr="00FF5328">
        <w:rPr>
          <w:sz w:val="24"/>
          <w:szCs w:val="24"/>
        </w:rPr>
        <w:t xml:space="preserve">2020.gada </w:t>
      </w:r>
      <w:r w:rsidR="00B90961">
        <w:rPr>
          <w:sz w:val="24"/>
          <w:szCs w:val="24"/>
        </w:rPr>
        <w:t>19</w:t>
      </w:r>
      <w:r w:rsidR="00482C07">
        <w:rPr>
          <w:sz w:val="24"/>
          <w:szCs w:val="24"/>
        </w:rPr>
        <w:t>.novembra</w:t>
      </w:r>
    </w:p>
    <w:p w:rsidR="00E46000" w:rsidRPr="00FF5328" w:rsidRDefault="00482C07" w:rsidP="00FF5328">
      <w:pPr>
        <w:ind w:left="5812"/>
        <w:rPr>
          <w:sz w:val="24"/>
          <w:szCs w:val="24"/>
        </w:rPr>
      </w:pPr>
      <w:r>
        <w:rPr>
          <w:sz w:val="24"/>
          <w:szCs w:val="24"/>
        </w:rPr>
        <w:t>lēmumu Nr.</w:t>
      </w:r>
      <w:r w:rsidR="004751AC">
        <w:rPr>
          <w:sz w:val="24"/>
          <w:szCs w:val="24"/>
        </w:rPr>
        <w:t>606</w:t>
      </w:r>
    </w:p>
    <w:p w:rsidR="005F0341" w:rsidRDefault="005F0341" w:rsidP="00FF5328">
      <w:pPr>
        <w:ind w:left="5812"/>
        <w:rPr>
          <w:sz w:val="24"/>
          <w:szCs w:val="24"/>
        </w:rPr>
      </w:pPr>
    </w:p>
    <w:p w:rsidR="00482C07" w:rsidRDefault="00482C07" w:rsidP="004751AC">
      <w:pPr>
        <w:rPr>
          <w:sz w:val="24"/>
          <w:szCs w:val="24"/>
        </w:rPr>
      </w:pPr>
    </w:p>
    <w:p w:rsidR="004751AC" w:rsidRPr="004751AC" w:rsidRDefault="004751AC" w:rsidP="004751AC">
      <w:pPr>
        <w:shd w:val="clear" w:color="auto" w:fill="FFFFFF"/>
        <w:suppressAutoHyphens/>
        <w:autoSpaceDN w:val="0"/>
        <w:spacing w:before="240"/>
        <w:ind w:firstLine="301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sz w:val="24"/>
          <w:szCs w:val="24"/>
        </w:rPr>
        <w:t xml:space="preserve"> </w:t>
      </w:r>
      <w:r w:rsidRPr="004751AC">
        <w:rPr>
          <w:b/>
          <w:bCs/>
          <w:sz w:val="24"/>
          <w:szCs w:val="24"/>
        </w:rPr>
        <w:t>Grozījums Daugavpils pilsētas domes 2015.gada 10.decembra saistošajos noteikumos Nr.48 "Daugavpils pilsētas pašvaldības sociālās garantijas bārenim un bez vecāku gādības palikušajam bērnam</w:t>
      </w:r>
      <w:r>
        <w:rPr>
          <w:b/>
          <w:bCs/>
          <w:sz w:val="24"/>
          <w:szCs w:val="24"/>
        </w:rPr>
        <w:t>"</w:t>
      </w:r>
    </w:p>
    <w:p w:rsidR="004751AC" w:rsidRPr="004751AC" w:rsidRDefault="004751AC" w:rsidP="004751AC">
      <w:pPr>
        <w:shd w:val="clear" w:color="auto" w:fill="FFFFFF"/>
        <w:suppressAutoHyphens/>
        <w:autoSpaceDN w:val="0"/>
        <w:spacing w:before="240"/>
        <w:ind w:firstLine="301"/>
        <w:jc w:val="center"/>
        <w:textAlignment w:val="baseline"/>
        <w:rPr>
          <w:b/>
          <w:bCs/>
          <w:sz w:val="24"/>
          <w:szCs w:val="24"/>
        </w:rPr>
      </w:pPr>
    </w:p>
    <w:p w:rsidR="004751AC" w:rsidRPr="004751AC" w:rsidRDefault="004751AC" w:rsidP="004751AC">
      <w:pPr>
        <w:shd w:val="clear" w:color="auto" w:fill="FFFFFF"/>
        <w:suppressAutoHyphens/>
        <w:autoSpaceDN w:val="0"/>
        <w:ind w:firstLine="301"/>
        <w:jc w:val="right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751AC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>Izdoti saskaņā ar likuma "</w:t>
      </w:r>
      <w:hyperlink r:id="rId6" w:history="1">
        <w:r w:rsidRPr="004751AC">
          <w:rPr>
            <w:rFonts w:eastAsia="Calibri"/>
            <w:i/>
            <w:iCs/>
            <w:sz w:val="22"/>
            <w:szCs w:val="22"/>
            <w:shd w:val="clear" w:color="auto" w:fill="FFFFFF"/>
            <w:lang w:eastAsia="en-US"/>
          </w:rPr>
          <w:t>Par pašvaldībām</w:t>
        </w:r>
      </w:hyperlink>
      <w:r w:rsidRPr="004751AC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>" </w:t>
      </w:r>
      <w:hyperlink r:id="rId7" w:anchor="p43" w:history="1">
        <w:r w:rsidRPr="004751AC">
          <w:rPr>
            <w:rFonts w:eastAsia="Calibri"/>
            <w:i/>
            <w:iCs/>
            <w:sz w:val="22"/>
            <w:szCs w:val="22"/>
            <w:shd w:val="clear" w:color="auto" w:fill="FFFFFF"/>
            <w:lang w:eastAsia="en-US"/>
          </w:rPr>
          <w:t>43.panta</w:t>
        </w:r>
      </w:hyperlink>
      <w:r w:rsidRPr="004751AC">
        <w:rPr>
          <w:rFonts w:eastAsia="Calibri"/>
          <w:i/>
          <w:iCs/>
          <w:sz w:val="22"/>
          <w:szCs w:val="22"/>
          <w:shd w:val="clear" w:color="auto" w:fill="FFFFFF"/>
          <w:lang w:eastAsia="en-US"/>
        </w:rPr>
        <w:t xml:space="preserve"> trešo </w:t>
      </w:r>
      <w:r w:rsidRPr="004751AC">
        <w:rPr>
          <w:i/>
          <w:iCs/>
          <w:sz w:val="22"/>
          <w:szCs w:val="22"/>
        </w:rPr>
        <w:t>daļu, likuma "</w:t>
      </w:r>
      <w:hyperlink r:id="rId8" w:history="1">
        <w:r w:rsidRPr="004751AC">
          <w:rPr>
            <w:i/>
            <w:sz w:val="22"/>
            <w:szCs w:val="22"/>
          </w:rPr>
          <w:t>Par palīdzību dzīvokļa jautājumu risināšanā</w:t>
        </w:r>
      </w:hyperlink>
      <w:r w:rsidRPr="004751AC">
        <w:rPr>
          <w:i/>
          <w:iCs/>
          <w:sz w:val="22"/>
          <w:szCs w:val="22"/>
        </w:rPr>
        <w:t>" </w:t>
      </w:r>
      <w:hyperlink r:id="rId9" w:anchor="n25.2" w:history="1">
        <w:r w:rsidRPr="004751AC">
          <w:rPr>
            <w:i/>
            <w:sz w:val="22"/>
            <w:szCs w:val="22"/>
          </w:rPr>
          <w:t>25.</w:t>
        </w:r>
        <w:r w:rsidRPr="004751AC">
          <w:rPr>
            <w:i/>
            <w:sz w:val="22"/>
            <w:szCs w:val="22"/>
            <w:vertAlign w:val="superscript"/>
          </w:rPr>
          <w:t>2</w:t>
        </w:r>
        <w:r w:rsidRPr="004751AC">
          <w:rPr>
            <w:i/>
            <w:sz w:val="22"/>
            <w:szCs w:val="22"/>
          </w:rPr>
          <w:t> </w:t>
        </w:r>
      </w:hyperlink>
      <w:r w:rsidRPr="004751AC">
        <w:rPr>
          <w:i/>
          <w:iCs/>
          <w:sz w:val="22"/>
          <w:szCs w:val="22"/>
        </w:rPr>
        <w:t>pirmo un piekto daļu un </w:t>
      </w:r>
      <w:hyperlink r:id="rId10" w:anchor="p26" w:history="1">
        <w:r w:rsidRPr="004751AC">
          <w:rPr>
            <w:i/>
            <w:sz w:val="22"/>
            <w:szCs w:val="22"/>
          </w:rPr>
          <w:t>26.panta</w:t>
        </w:r>
      </w:hyperlink>
      <w:r w:rsidRPr="004751AC">
        <w:rPr>
          <w:i/>
          <w:iCs/>
          <w:sz w:val="22"/>
          <w:szCs w:val="22"/>
        </w:rPr>
        <w:t> otro daļu, </w:t>
      </w:r>
    </w:p>
    <w:p w:rsidR="004751AC" w:rsidRPr="004751AC" w:rsidRDefault="001938C8" w:rsidP="004751AC">
      <w:pPr>
        <w:shd w:val="clear" w:color="auto" w:fill="FFFFFF"/>
        <w:suppressAutoHyphens/>
        <w:autoSpaceDN w:val="0"/>
        <w:ind w:firstLine="300"/>
        <w:jc w:val="right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hyperlink r:id="rId11" w:history="1">
        <w:r w:rsidR="004751AC" w:rsidRPr="004751AC">
          <w:rPr>
            <w:i/>
            <w:sz w:val="22"/>
            <w:szCs w:val="22"/>
          </w:rPr>
          <w:t>Bērnu tiesību aizsardzības likuma</w:t>
        </w:r>
      </w:hyperlink>
      <w:r w:rsidR="004751AC" w:rsidRPr="004751AC">
        <w:rPr>
          <w:i/>
          <w:iCs/>
          <w:sz w:val="22"/>
          <w:szCs w:val="22"/>
        </w:rPr>
        <w:t> </w:t>
      </w:r>
      <w:hyperlink r:id="rId12" w:anchor="p45.2" w:history="1">
        <w:r w:rsidR="004751AC" w:rsidRPr="004751AC">
          <w:rPr>
            <w:i/>
            <w:sz w:val="22"/>
            <w:szCs w:val="22"/>
          </w:rPr>
          <w:t>45.</w:t>
        </w:r>
        <w:r w:rsidR="004751AC" w:rsidRPr="004751AC">
          <w:rPr>
            <w:i/>
            <w:sz w:val="22"/>
            <w:szCs w:val="22"/>
            <w:vertAlign w:val="superscript"/>
          </w:rPr>
          <w:t>2</w:t>
        </w:r>
        <w:r w:rsidR="004751AC" w:rsidRPr="004751AC">
          <w:rPr>
            <w:i/>
            <w:sz w:val="22"/>
            <w:szCs w:val="22"/>
          </w:rPr>
          <w:t> panta</w:t>
        </w:r>
      </w:hyperlink>
      <w:r w:rsidR="004751AC" w:rsidRPr="004751AC">
        <w:rPr>
          <w:i/>
          <w:iCs/>
          <w:sz w:val="22"/>
          <w:szCs w:val="22"/>
        </w:rPr>
        <w:t> ceturto daļu,</w:t>
      </w:r>
      <w:r w:rsidR="004751AC" w:rsidRPr="004751AC">
        <w:rPr>
          <w:i/>
          <w:iCs/>
          <w:sz w:val="22"/>
          <w:szCs w:val="22"/>
        </w:rPr>
        <w:br/>
        <w:t>Ministru kabineta 2018.gada 26.jūnija noteikumu Nr.354</w:t>
      </w:r>
      <w:r w:rsidR="004751AC" w:rsidRPr="004751AC">
        <w:rPr>
          <w:i/>
          <w:iCs/>
          <w:sz w:val="22"/>
          <w:szCs w:val="22"/>
        </w:rPr>
        <w:br/>
        <w:t>"</w:t>
      </w:r>
      <w:hyperlink r:id="rId13" w:history="1">
        <w:r w:rsidR="004751AC" w:rsidRPr="004751AC">
          <w:rPr>
            <w:i/>
            <w:sz w:val="22"/>
            <w:szCs w:val="22"/>
          </w:rPr>
          <w:t>Audžuģimenes noteikumi</w:t>
        </w:r>
      </w:hyperlink>
      <w:r w:rsidR="004751AC" w:rsidRPr="004751AC">
        <w:rPr>
          <w:i/>
          <w:iCs/>
          <w:sz w:val="22"/>
          <w:szCs w:val="22"/>
        </w:rPr>
        <w:t>" </w:t>
      </w:r>
      <w:hyperlink r:id="rId14" w:anchor="p78" w:history="1">
        <w:r w:rsidR="004751AC" w:rsidRPr="004751AC">
          <w:rPr>
            <w:i/>
            <w:sz w:val="22"/>
            <w:szCs w:val="22"/>
          </w:rPr>
          <w:t>78.punktu</w:t>
        </w:r>
      </w:hyperlink>
      <w:r w:rsidR="004751AC" w:rsidRPr="004751AC">
        <w:rPr>
          <w:i/>
          <w:iCs/>
          <w:sz w:val="22"/>
          <w:szCs w:val="22"/>
        </w:rPr>
        <w:t>, Ministru kabineta 2005.gada 15.novembra</w:t>
      </w:r>
      <w:r w:rsidR="004751AC" w:rsidRPr="004751AC">
        <w:rPr>
          <w:i/>
          <w:iCs/>
          <w:sz w:val="22"/>
          <w:szCs w:val="22"/>
        </w:rPr>
        <w:br/>
        <w:t>noteikumu Nr.857 "Noteikumi par sociālajām garantijām bārenim un bez vecāku</w:t>
      </w:r>
      <w:r w:rsidR="004751AC" w:rsidRPr="004751AC">
        <w:rPr>
          <w:i/>
          <w:iCs/>
          <w:sz w:val="22"/>
          <w:szCs w:val="22"/>
        </w:rPr>
        <w:br/>
        <w:t>gādības palikušajam bērnam, kurš ir ārpusģimenes aprūpē, kā arī pēc</w:t>
      </w:r>
      <w:r w:rsidR="004751AC" w:rsidRPr="004751AC">
        <w:rPr>
          <w:i/>
          <w:iCs/>
          <w:sz w:val="22"/>
          <w:szCs w:val="22"/>
        </w:rPr>
        <w:br/>
        <w:t>ārpusģimenes aprūpes beigšanās" </w:t>
      </w:r>
      <w:hyperlink r:id="rId15" w:anchor="p22" w:history="1">
        <w:r w:rsidR="004751AC" w:rsidRPr="004751AC">
          <w:rPr>
            <w:i/>
            <w:iCs/>
            <w:sz w:val="22"/>
            <w:szCs w:val="22"/>
          </w:rPr>
          <w:t>22.</w:t>
        </w:r>
      </w:hyperlink>
      <w:r w:rsidR="004751AC" w:rsidRPr="004751AC">
        <w:rPr>
          <w:i/>
          <w:iCs/>
          <w:sz w:val="22"/>
          <w:szCs w:val="22"/>
        </w:rPr>
        <w:t>, </w:t>
      </w:r>
      <w:hyperlink r:id="rId16" w:anchor="p27" w:history="1">
        <w:r w:rsidR="004751AC" w:rsidRPr="004751AC">
          <w:rPr>
            <w:i/>
            <w:iCs/>
            <w:sz w:val="22"/>
            <w:szCs w:val="22"/>
          </w:rPr>
          <w:t>27.</w:t>
        </w:r>
      </w:hyperlink>
      <w:r w:rsidR="004751AC" w:rsidRPr="004751AC">
        <w:rPr>
          <w:i/>
          <w:iCs/>
          <w:sz w:val="22"/>
          <w:szCs w:val="22"/>
        </w:rPr>
        <w:t>, </w:t>
      </w:r>
      <w:hyperlink r:id="rId17" w:anchor="p30" w:history="1">
        <w:r w:rsidR="004751AC" w:rsidRPr="004751AC">
          <w:rPr>
            <w:i/>
            <w:iCs/>
            <w:sz w:val="22"/>
            <w:szCs w:val="22"/>
          </w:rPr>
          <w:t>30.</w:t>
        </w:r>
      </w:hyperlink>
      <w:r w:rsidR="004751AC" w:rsidRPr="004751AC">
        <w:rPr>
          <w:i/>
          <w:iCs/>
          <w:sz w:val="22"/>
          <w:szCs w:val="22"/>
        </w:rPr>
        <w:t>, </w:t>
      </w:r>
      <w:hyperlink r:id="rId18" w:anchor="p31" w:history="1">
        <w:r w:rsidR="004751AC" w:rsidRPr="004751AC">
          <w:rPr>
            <w:i/>
            <w:iCs/>
            <w:sz w:val="22"/>
            <w:szCs w:val="22"/>
          </w:rPr>
          <w:t>31. </w:t>
        </w:r>
      </w:hyperlink>
      <w:r w:rsidR="004751AC" w:rsidRPr="004751AC">
        <w:rPr>
          <w:i/>
          <w:iCs/>
          <w:sz w:val="22"/>
          <w:szCs w:val="22"/>
        </w:rPr>
        <w:t>un </w:t>
      </w:r>
      <w:hyperlink r:id="rId19" w:anchor="p31.1" w:history="1">
        <w:r w:rsidR="004751AC" w:rsidRPr="004751AC">
          <w:rPr>
            <w:i/>
            <w:iCs/>
            <w:sz w:val="22"/>
            <w:szCs w:val="22"/>
          </w:rPr>
          <w:t>31.</w:t>
        </w:r>
        <w:r w:rsidR="004751AC" w:rsidRPr="004751AC">
          <w:rPr>
            <w:i/>
            <w:iCs/>
            <w:sz w:val="22"/>
            <w:szCs w:val="22"/>
            <w:vertAlign w:val="superscript"/>
          </w:rPr>
          <w:t>1</w:t>
        </w:r>
        <w:r w:rsidR="004751AC" w:rsidRPr="004751AC">
          <w:rPr>
            <w:i/>
            <w:iCs/>
            <w:sz w:val="22"/>
            <w:szCs w:val="22"/>
          </w:rPr>
          <w:t> punktu</w:t>
        </w:r>
      </w:hyperlink>
      <w:r w:rsidR="004751AC" w:rsidRPr="004751AC">
        <w:rPr>
          <w:i/>
          <w:iCs/>
          <w:sz w:val="22"/>
          <w:szCs w:val="22"/>
        </w:rPr>
        <w:t>,</w:t>
      </w:r>
      <w:r w:rsidR="004751AC" w:rsidRPr="004751AC">
        <w:rPr>
          <w:i/>
          <w:iCs/>
          <w:sz w:val="22"/>
          <w:szCs w:val="22"/>
        </w:rPr>
        <w:br/>
        <w:t xml:space="preserve">Ministru kabineta 2018.gada 30.oktobra </w:t>
      </w:r>
    </w:p>
    <w:p w:rsidR="004751AC" w:rsidRPr="004751AC" w:rsidRDefault="004751AC" w:rsidP="004751AC">
      <w:pPr>
        <w:shd w:val="clear" w:color="auto" w:fill="FFFFFF"/>
        <w:suppressAutoHyphens/>
        <w:autoSpaceDN w:val="0"/>
        <w:ind w:firstLine="300"/>
        <w:jc w:val="right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4751AC">
        <w:rPr>
          <w:i/>
          <w:iCs/>
          <w:sz w:val="22"/>
          <w:szCs w:val="22"/>
        </w:rPr>
        <w:t>noteikumu Nr.667 "</w:t>
      </w:r>
      <w:hyperlink r:id="rId20" w:history="1">
        <w:r w:rsidRPr="004751AC">
          <w:rPr>
            <w:i/>
            <w:iCs/>
            <w:sz w:val="22"/>
            <w:szCs w:val="22"/>
          </w:rPr>
          <w:t>Adopcijas kārtība</w:t>
        </w:r>
      </w:hyperlink>
      <w:r w:rsidRPr="004751AC">
        <w:rPr>
          <w:i/>
          <w:iCs/>
          <w:sz w:val="22"/>
          <w:szCs w:val="22"/>
        </w:rPr>
        <w:t>" </w:t>
      </w:r>
      <w:hyperlink r:id="rId21" w:anchor="p54.1" w:history="1">
        <w:r w:rsidRPr="004751AC">
          <w:rPr>
            <w:i/>
            <w:iCs/>
            <w:sz w:val="22"/>
            <w:szCs w:val="22"/>
          </w:rPr>
          <w:t>54.1</w:t>
        </w:r>
      </w:hyperlink>
      <w:r w:rsidRPr="004751AC">
        <w:rPr>
          <w:i/>
          <w:iCs/>
          <w:sz w:val="22"/>
          <w:szCs w:val="22"/>
        </w:rPr>
        <w:t>., </w:t>
      </w:r>
      <w:hyperlink r:id="rId22" w:anchor="p54.2" w:history="1">
        <w:r w:rsidRPr="004751AC">
          <w:rPr>
            <w:i/>
            <w:iCs/>
            <w:sz w:val="22"/>
            <w:szCs w:val="22"/>
          </w:rPr>
          <w:t>54.2</w:t>
        </w:r>
      </w:hyperlink>
      <w:r w:rsidRPr="004751AC">
        <w:rPr>
          <w:i/>
          <w:iCs/>
          <w:sz w:val="22"/>
          <w:szCs w:val="22"/>
        </w:rPr>
        <w:t xml:space="preserve">.punktu </w:t>
      </w:r>
    </w:p>
    <w:p w:rsidR="004751AC" w:rsidRPr="004751AC" w:rsidRDefault="004751AC" w:rsidP="004751AC">
      <w:pPr>
        <w:shd w:val="clear" w:color="auto" w:fill="FFFFFF"/>
        <w:suppressAutoHyphens/>
        <w:autoSpaceDN w:val="0"/>
        <w:ind w:firstLine="567"/>
        <w:jc w:val="both"/>
        <w:textAlignment w:val="baseline"/>
        <w:rPr>
          <w:sz w:val="24"/>
          <w:szCs w:val="24"/>
        </w:rPr>
      </w:pPr>
    </w:p>
    <w:p w:rsidR="004751AC" w:rsidRPr="004751AC" w:rsidRDefault="004751AC" w:rsidP="004751AC">
      <w:pPr>
        <w:shd w:val="clear" w:color="auto" w:fill="FFFFFF"/>
        <w:suppressAutoHyphens/>
        <w:autoSpaceDN w:val="0"/>
        <w:spacing w:before="120"/>
        <w:ind w:firstLine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751AC">
        <w:rPr>
          <w:sz w:val="24"/>
          <w:szCs w:val="24"/>
        </w:rPr>
        <w:t>Izdarīt Daugavpils pilsētas domes 2015.gada 10.decembra saistošajos noteikumos Nr.48 "</w:t>
      </w:r>
      <w:hyperlink r:id="rId23" w:history="1">
        <w:r w:rsidRPr="004751AC">
          <w:rPr>
            <w:sz w:val="24"/>
            <w:szCs w:val="24"/>
          </w:rPr>
          <w:t>Daugavpils pilsētas pašvaldības sociālās garantijas bārenim un bez vecāku gādības palikušajam bērnam</w:t>
        </w:r>
      </w:hyperlink>
      <w:r w:rsidRPr="004751AC">
        <w:rPr>
          <w:sz w:val="24"/>
          <w:szCs w:val="24"/>
        </w:rPr>
        <w:t>"" (Latvijas Vēstnesis, 2016., Nr.13, Nr.143, Nr.221, 2017., Nr.</w:t>
      </w:r>
      <w:r w:rsidRPr="004751AC">
        <w:rPr>
          <w:bCs/>
          <w:sz w:val="24"/>
          <w:szCs w:val="24"/>
        </w:rPr>
        <w:t xml:space="preserve">189, </w:t>
      </w:r>
      <w:r w:rsidRPr="004751AC">
        <w:rPr>
          <w:sz w:val="24"/>
          <w:szCs w:val="24"/>
        </w:rPr>
        <w:t>Nr.247</w:t>
      </w:r>
      <w:r w:rsidRPr="004751AC">
        <w:rPr>
          <w:bCs/>
          <w:sz w:val="24"/>
          <w:szCs w:val="24"/>
        </w:rPr>
        <w:t xml:space="preserve">, </w:t>
      </w:r>
      <w:r w:rsidRPr="004751AC">
        <w:rPr>
          <w:sz w:val="24"/>
          <w:szCs w:val="24"/>
        </w:rPr>
        <w:t>2018., Nr.26, Nr.156, Nr.248, 2019., Nr.176, 2020., Nr.40, Nr.196, (turpmāk - noteikumi) grozījumu, aizstājot 57.punktā skaitli “</w:t>
      </w:r>
      <w:r w:rsidRPr="004751AC">
        <w:rPr>
          <w:rFonts w:eastAsia="Calibri"/>
          <w:sz w:val="24"/>
          <w:szCs w:val="24"/>
          <w:lang w:eastAsia="en-US"/>
        </w:rPr>
        <w:t>60,00” ar skaitli “100,00”.</w:t>
      </w:r>
    </w:p>
    <w:p w:rsidR="00482C07" w:rsidRDefault="00482C07" w:rsidP="004751AC">
      <w:pPr>
        <w:spacing w:before="120"/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482C07">
      <w:pPr>
        <w:ind w:firstLine="300"/>
        <w:jc w:val="both"/>
        <w:rPr>
          <w:sz w:val="24"/>
          <w:szCs w:val="24"/>
          <w:lang w:eastAsia="lv-LV"/>
        </w:rPr>
      </w:pPr>
    </w:p>
    <w:p w:rsidR="00482C07" w:rsidRPr="00482C07" w:rsidRDefault="00482C07" w:rsidP="00D01CD4">
      <w:pPr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</w:t>
      </w:r>
      <w:r w:rsidRPr="00482C07">
        <w:rPr>
          <w:sz w:val="24"/>
          <w:szCs w:val="24"/>
          <w:lang w:eastAsia="lv-LV"/>
        </w:rPr>
        <w:t>omes priekšsēdētājs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</w:r>
      <w:r>
        <w:rPr>
          <w:sz w:val="24"/>
          <w:szCs w:val="24"/>
          <w:lang w:eastAsia="lv-LV"/>
        </w:rPr>
        <w:t xml:space="preserve">                                </w:t>
      </w:r>
      <w:r w:rsidRPr="00482C07">
        <w:rPr>
          <w:sz w:val="24"/>
          <w:szCs w:val="24"/>
          <w:lang w:eastAsia="lv-LV"/>
        </w:rPr>
        <w:tab/>
      </w:r>
      <w:r w:rsidRPr="00482C07">
        <w:rPr>
          <w:sz w:val="24"/>
          <w:szCs w:val="24"/>
          <w:lang w:eastAsia="lv-LV"/>
        </w:rPr>
        <w:tab/>
        <w:t>I.Prelatovs</w:t>
      </w:r>
    </w:p>
    <w:p w:rsidR="00482C07" w:rsidRPr="00482C07" w:rsidRDefault="00482C07" w:rsidP="00D01CD4">
      <w:pPr>
        <w:jc w:val="both"/>
        <w:rPr>
          <w:sz w:val="24"/>
          <w:szCs w:val="24"/>
          <w:lang w:eastAsia="en-US"/>
        </w:rPr>
      </w:pPr>
    </w:p>
    <w:p w:rsidR="00FF5328" w:rsidRDefault="00FF5328" w:rsidP="009C1743">
      <w:pPr>
        <w:rPr>
          <w:sz w:val="24"/>
          <w:szCs w:val="24"/>
        </w:rPr>
      </w:pPr>
    </w:p>
    <w:p w:rsidR="009C1743" w:rsidRPr="00FF5328" w:rsidRDefault="009C1743" w:rsidP="009C1743">
      <w:pPr>
        <w:rPr>
          <w:sz w:val="24"/>
          <w:szCs w:val="24"/>
        </w:rPr>
      </w:pPr>
      <w:r w:rsidRPr="0039062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sectPr w:rsidR="009C1743" w:rsidRPr="00FF5328" w:rsidSect="001B565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E49"/>
    <w:multiLevelType w:val="hybridMultilevel"/>
    <w:tmpl w:val="35C2CE8A"/>
    <w:lvl w:ilvl="0" w:tplc="4348AE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785E7B97"/>
    <w:multiLevelType w:val="multilevel"/>
    <w:tmpl w:val="38C2F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1244A4"/>
    <w:rsid w:val="001938C8"/>
    <w:rsid w:val="001B5651"/>
    <w:rsid w:val="002B3BF9"/>
    <w:rsid w:val="003B1F3C"/>
    <w:rsid w:val="003D287F"/>
    <w:rsid w:val="00412E88"/>
    <w:rsid w:val="004751AC"/>
    <w:rsid w:val="00482C07"/>
    <w:rsid w:val="00534AB0"/>
    <w:rsid w:val="0059537C"/>
    <w:rsid w:val="005F0341"/>
    <w:rsid w:val="0060127D"/>
    <w:rsid w:val="00656183"/>
    <w:rsid w:val="006B7973"/>
    <w:rsid w:val="006E1677"/>
    <w:rsid w:val="00731EA2"/>
    <w:rsid w:val="007B3DD9"/>
    <w:rsid w:val="007D78A8"/>
    <w:rsid w:val="007E2DF3"/>
    <w:rsid w:val="0085677D"/>
    <w:rsid w:val="008B78F7"/>
    <w:rsid w:val="009400C3"/>
    <w:rsid w:val="009840B0"/>
    <w:rsid w:val="009C1743"/>
    <w:rsid w:val="00A27A19"/>
    <w:rsid w:val="00B41042"/>
    <w:rsid w:val="00B90961"/>
    <w:rsid w:val="00CF4D3F"/>
    <w:rsid w:val="00D01CD4"/>
    <w:rsid w:val="00E46000"/>
    <w:rsid w:val="00E85155"/>
    <w:rsid w:val="00F7107F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300005-audzugimenes-noteikumi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kumi.lv/ta/id/302796-adopcijas-kartiba" TargetMode="Externa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hyperlink" Target="https://likumi.lv/ta/id/302796-adopcijas-karti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11" Type="http://schemas.openxmlformats.org/officeDocument/2006/relationships/hyperlink" Target="https://likumi.lv/ta/id/49096-bernu-tiesibu-aizsardzibas-likums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hyperlink" Target="https://likumi.lv/ta/id/279417-daugavpils-pilsetas-pasvaldibas-socialas-garantijas-barenim-un-bez-vecaku-gadibas-palikusajam-bernam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300005-audzugimenes-noteikumi" TargetMode="External"/><Relationship Id="rId22" Type="http://schemas.openxmlformats.org/officeDocument/2006/relationships/hyperlink" Target="https://likumi.lv/ta/id/302796-adopcij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2469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Inesa Sindina</cp:lastModifiedBy>
  <cp:revision>5</cp:revision>
  <cp:lastPrinted>2020-09-25T07:26:00Z</cp:lastPrinted>
  <dcterms:created xsi:type="dcterms:W3CDTF">2020-11-20T06:46:00Z</dcterms:created>
  <dcterms:modified xsi:type="dcterms:W3CDTF">2020-11-20T08:19:00Z</dcterms:modified>
</cp:coreProperties>
</file>