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ED8" w:rsidRDefault="00474ED8" w:rsidP="00474ED8">
      <w:pPr>
        <w:jc w:val="right"/>
        <w:outlineLvl w:val="3"/>
        <w:rPr>
          <w:b/>
          <w:lang w:val="lv-LV"/>
        </w:rPr>
      </w:pPr>
    </w:p>
    <w:p w:rsidR="006A57AE" w:rsidRDefault="006A57AE" w:rsidP="00474ED8">
      <w:pPr>
        <w:jc w:val="right"/>
        <w:outlineLvl w:val="3"/>
        <w:rPr>
          <w:b/>
          <w:lang w:val="lv-LV"/>
        </w:rPr>
      </w:pPr>
    </w:p>
    <w:p w:rsidR="00311150" w:rsidRPr="00023E43" w:rsidRDefault="007A1009" w:rsidP="007A1009">
      <w:pPr>
        <w:jc w:val="center"/>
        <w:outlineLvl w:val="3"/>
        <w:rPr>
          <w:b/>
          <w:lang w:val="lv-LV"/>
        </w:rPr>
      </w:pPr>
      <w:r w:rsidRPr="00474ED8">
        <w:rPr>
          <w:b/>
          <w:lang w:val="lv-LV"/>
        </w:rPr>
        <w:t>Daugavpils pilsētas domes</w:t>
      </w:r>
      <w:r w:rsidR="00291309" w:rsidRPr="00474ED8">
        <w:rPr>
          <w:b/>
          <w:lang w:val="lv-LV"/>
        </w:rPr>
        <w:t xml:space="preserve"> </w:t>
      </w:r>
      <w:r w:rsidR="00E10B11" w:rsidRPr="00023E43">
        <w:rPr>
          <w:b/>
          <w:lang w:val="lv-LV"/>
        </w:rPr>
        <w:t>2020.gada 11.jūnija saistošo noteikumu Nr.23</w:t>
      </w:r>
      <w:r w:rsidRPr="00023E43">
        <w:rPr>
          <w:b/>
          <w:lang w:val="lv-LV"/>
        </w:rPr>
        <w:t xml:space="preserve"> </w:t>
      </w:r>
    </w:p>
    <w:p w:rsidR="007A1009" w:rsidRPr="00474ED8" w:rsidRDefault="00311150" w:rsidP="007A1009">
      <w:pPr>
        <w:jc w:val="center"/>
        <w:outlineLvl w:val="3"/>
        <w:rPr>
          <w:b/>
          <w:bCs/>
          <w:lang w:val="lv-LV"/>
        </w:rPr>
      </w:pPr>
      <w:r w:rsidRPr="00474ED8">
        <w:rPr>
          <w:b/>
          <w:lang w:val="lv-LV"/>
        </w:rPr>
        <w:t xml:space="preserve"> </w:t>
      </w:r>
      <w:r w:rsidR="0092306D" w:rsidRPr="002F28D2">
        <w:rPr>
          <w:b/>
          <w:lang w:val="lv-LV"/>
        </w:rPr>
        <w:t>“</w:t>
      </w:r>
      <w:r w:rsidR="00256AAC" w:rsidRPr="0096551B">
        <w:rPr>
          <w:b/>
          <w:lang w:val="lv-LV"/>
        </w:rPr>
        <w:t>Grozījums Daugavpils pilsētas domes 2018.gada 28.jūnija saistošajos noteikumos Nr.20 “</w:t>
      </w:r>
      <w:r w:rsidR="00256AAC" w:rsidRPr="0096551B">
        <w:rPr>
          <w:b/>
          <w:bCs/>
          <w:lang w:val="lv-LV"/>
        </w:rPr>
        <w:t>Par Daugavpils pilsētas pašvaldības maksas autostāvvietu apsaimniekošanu un lietošanu</w:t>
      </w:r>
      <w:r w:rsidR="00256AAC" w:rsidRPr="0096551B">
        <w:rPr>
          <w:b/>
          <w:lang w:val="lv-LV"/>
        </w:rPr>
        <w:t>”</w:t>
      </w:r>
      <w:r w:rsidR="0092306D" w:rsidRPr="002F28D2">
        <w:rPr>
          <w:b/>
          <w:lang w:val="lv-LV"/>
        </w:rPr>
        <w:t>”</w:t>
      </w:r>
      <w:r w:rsidR="0092306D">
        <w:rPr>
          <w:b/>
          <w:lang w:val="lv-LV"/>
        </w:rPr>
        <w:t xml:space="preserve"> </w:t>
      </w:r>
      <w:r w:rsidR="007A1009" w:rsidRPr="00474ED8">
        <w:rPr>
          <w:b/>
          <w:lang w:val="lv-LV"/>
        </w:rPr>
        <w:t>paskaidrojuma raksts</w:t>
      </w:r>
    </w:p>
    <w:p w:rsidR="007A1009" w:rsidRPr="00474ED8" w:rsidRDefault="007A1009" w:rsidP="007A1009">
      <w:pPr>
        <w:jc w:val="center"/>
        <w:outlineLvl w:val="3"/>
        <w:rPr>
          <w:b/>
          <w:bCs/>
          <w:lang w:val="lv-LV" w:eastAsia="lv-LV"/>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14"/>
        <w:gridCol w:w="5639"/>
      </w:tblGrid>
      <w:tr w:rsidR="007A1009" w:rsidRPr="00B01F2E" w:rsidTr="006759E3">
        <w:trPr>
          <w:cantSplit/>
        </w:trPr>
        <w:tc>
          <w:tcPr>
            <w:tcW w:w="3314" w:type="dxa"/>
            <w:tcBorders>
              <w:top w:val="single" w:sz="4" w:space="0" w:color="auto"/>
              <w:left w:val="single" w:sz="4" w:space="0" w:color="auto"/>
              <w:bottom w:val="single" w:sz="4" w:space="0" w:color="auto"/>
              <w:right w:val="single" w:sz="4" w:space="0" w:color="auto"/>
            </w:tcBorders>
          </w:tcPr>
          <w:p w:rsidR="007A1009" w:rsidRPr="00B01F2E" w:rsidRDefault="007A1009" w:rsidP="00BF3844">
            <w:pPr>
              <w:pStyle w:val="naiskr"/>
              <w:spacing w:before="120" w:after="120"/>
              <w:jc w:val="center"/>
              <w:rPr>
                <w:b/>
              </w:rPr>
            </w:pPr>
            <w:r w:rsidRPr="00B01F2E">
              <w:rPr>
                <w:b/>
              </w:rPr>
              <w:t>Paskaidrojuma raksta sadaļas</w:t>
            </w:r>
          </w:p>
        </w:tc>
        <w:tc>
          <w:tcPr>
            <w:tcW w:w="5639" w:type="dxa"/>
            <w:tcBorders>
              <w:top w:val="single" w:sz="4" w:space="0" w:color="auto"/>
              <w:left w:val="single" w:sz="4" w:space="0" w:color="auto"/>
              <w:bottom w:val="single" w:sz="4" w:space="0" w:color="auto"/>
              <w:right w:val="single" w:sz="4" w:space="0" w:color="auto"/>
            </w:tcBorders>
            <w:vAlign w:val="center"/>
          </w:tcPr>
          <w:p w:rsidR="007A1009" w:rsidRPr="00B01F2E" w:rsidRDefault="007A1009" w:rsidP="00BF3844">
            <w:pPr>
              <w:pStyle w:val="naisnod"/>
              <w:spacing w:before="0" w:after="0"/>
              <w:rPr>
                <w:lang w:eastAsia="en-US"/>
              </w:rPr>
            </w:pPr>
            <w:r w:rsidRPr="00B01F2E">
              <w:rPr>
                <w:lang w:eastAsia="en-US"/>
              </w:rPr>
              <w:t>Norādāmā informācija</w:t>
            </w:r>
          </w:p>
        </w:tc>
      </w:tr>
      <w:tr w:rsidR="003B3BF4" w:rsidRPr="00C224DE" w:rsidTr="006759E3">
        <w:trPr>
          <w:cantSplit/>
        </w:trPr>
        <w:tc>
          <w:tcPr>
            <w:tcW w:w="3314" w:type="dxa"/>
            <w:tcBorders>
              <w:top w:val="single" w:sz="4" w:space="0" w:color="auto"/>
              <w:left w:val="single" w:sz="4" w:space="0" w:color="auto"/>
              <w:bottom w:val="single" w:sz="4" w:space="0" w:color="auto"/>
              <w:right w:val="single" w:sz="4" w:space="0" w:color="auto"/>
            </w:tcBorders>
          </w:tcPr>
          <w:p w:rsidR="003B3BF4" w:rsidRPr="00B01F2E" w:rsidRDefault="003B3BF4" w:rsidP="00BF3844">
            <w:pPr>
              <w:pStyle w:val="naiskr"/>
              <w:spacing w:before="120" w:after="120"/>
              <w:rPr>
                <w:bCs/>
              </w:rPr>
            </w:pPr>
            <w:r w:rsidRPr="00B01F2E">
              <w:rPr>
                <w:bCs/>
              </w:rPr>
              <w:t>1. Projekta nepieciešamības pamatojums</w:t>
            </w:r>
          </w:p>
        </w:tc>
        <w:tc>
          <w:tcPr>
            <w:tcW w:w="5639" w:type="dxa"/>
            <w:tcBorders>
              <w:top w:val="single" w:sz="4" w:space="0" w:color="auto"/>
              <w:left w:val="single" w:sz="4" w:space="0" w:color="auto"/>
              <w:bottom w:val="single" w:sz="4" w:space="0" w:color="auto"/>
              <w:right w:val="single" w:sz="4" w:space="0" w:color="auto"/>
            </w:tcBorders>
            <w:vAlign w:val="center"/>
          </w:tcPr>
          <w:p w:rsidR="00256AAC" w:rsidRDefault="00256AAC" w:rsidP="000708F1">
            <w:pPr>
              <w:pStyle w:val="BodyTextIndent2"/>
              <w:ind w:firstLine="365"/>
              <w:rPr>
                <w:sz w:val="24"/>
              </w:rPr>
            </w:pPr>
            <w:r w:rsidRPr="00256AAC">
              <w:rPr>
                <w:sz w:val="24"/>
              </w:rPr>
              <w:t>Saskaņā ar likuma “Par autoceļiem” 6.panta 4.</w:t>
            </w:r>
            <w:r w:rsidRPr="00256AAC">
              <w:rPr>
                <w:sz w:val="24"/>
                <w:vertAlign w:val="superscript"/>
              </w:rPr>
              <w:t>1</w:t>
            </w:r>
            <w:r w:rsidRPr="00256AAC">
              <w:rPr>
                <w:sz w:val="24"/>
              </w:rPr>
              <w:t>daļu, pašvaldība ar saistošajiem noteikumiem var paredzēt, ka par transportlīdzekļa novietošanu uz pašvaldības autoceļa vai ielas stāvēšanai drīkst iekasēt maksu. Šajos noteikumos norādāms attiecīgais autoceļš vai iela (to posms), vai konkrēta teritorija, kurā ietilpst autoceļi vai ielas (to komplekss), noteikts laiks, kurā stāvēšanai novietotā transportlīdzekļa atrašanās uz pašvaldības autoceļa vai ielas ir par maksu (piemēram, noteikts diennakts, nedēļas laiks), maksas apmērs un tās iekasēšanas kārtība</w:t>
            </w:r>
            <w:r>
              <w:rPr>
                <w:sz w:val="24"/>
              </w:rPr>
              <w:t>.</w:t>
            </w:r>
          </w:p>
          <w:p w:rsidR="00AF53EB" w:rsidRPr="00256AAC" w:rsidRDefault="00096CDA" w:rsidP="00256AAC">
            <w:pPr>
              <w:pStyle w:val="BodyTextIndent2"/>
              <w:ind w:firstLine="365"/>
              <w:rPr>
                <w:sz w:val="24"/>
              </w:rPr>
            </w:pPr>
            <w:r>
              <w:rPr>
                <w:sz w:val="24"/>
              </w:rPr>
              <w:t>Saistošo noteikumu grozījuma</w:t>
            </w:r>
            <w:r w:rsidR="00256AAC" w:rsidRPr="00256AAC">
              <w:rPr>
                <w:sz w:val="24"/>
              </w:rPr>
              <w:t xml:space="preserve"> mērķis ir </w:t>
            </w:r>
            <w:r w:rsidR="00256AAC">
              <w:rPr>
                <w:sz w:val="24"/>
              </w:rPr>
              <w:t>veicināt videi draudzīgu transportlīdzekļu izmantošanu pilsētā.</w:t>
            </w:r>
          </w:p>
        </w:tc>
      </w:tr>
      <w:tr w:rsidR="00AF53EB" w:rsidRPr="00C224DE" w:rsidTr="006759E3">
        <w:trPr>
          <w:cantSplit/>
          <w:trHeight w:val="1030"/>
        </w:trPr>
        <w:tc>
          <w:tcPr>
            <w:tcW w:w="3314" w:type="dxa"/>
            <w:tcBorders>
              <w:top w:val="single" w:sz="4" w:space="0" w:color="auto"/>
              <w:left w:val="single" w:sz="4" w:space="0" w:color="auto"/>
              <w:bottom w:val="single" w:sz="4" w:space="0" w:color="auto"/>
              <w:right w:val="single" w:sz="4" w:space="0" w:color="auto"/>
            </w:tcBorders>
          </w:tcPr>
          <w:p w:rsidR="00AF53EB" w:rsidRPr="00B01F2E" w:rsidRDefault="00AF53EB" w:rsidP="00AF53EB">
            <w:pPr>
              <w:pStyle w:val="naiskr"/>
              <w:spacing w:before="120" w:after="120"/>
              <w:rPr>
                <w:bCs/>
              </w:rPr>
            </w:pPr>
            <w:r w:rsidRPr="00B01F2E">
              <w:t xml:space="preserve"> </w:t>
            </w:r>
            <w:r w:rsidRPr="00B01F2E">
              <w:rPr>
                <w:bCs/>
              </w:rPr>
              <w:t>2. Īss projekta satura izklāsts</w:t>
            </w:r>
          </w:p>
        </w:tc>
        <w:tc>
          <w:tcPr>
            <w:tcW w:w="5639" w:type="dxa"/>
            <w:tcBorders>
              <w:top w:val="single" w:sz="4" w:space="0" w:color="auto"/>
              <w:left w:val="single" w:sz="4" w:space="0" w:color="auto"/>
              <w:bottom w:val="single" w:sz="4" w:space="0" w:color="auto"/>
              <w:right w:val="single" w:sz="4" w:space="0" w:color="auto"/>
            </w:tcBorders>
            <w:vAlign w:val="center"/>
          </w:tcPr>
          <w:p w:rsidR="00AF53EB" w:rsidRPr="00B01F2E" w:rsidRDefault="00AF53EB" w:rsidP="00096CDA">
            <w:pPr>
              <w:pStyle w:val="naisnod"/>
              <w:spacing w:before="0" w:after="0"/>
              <w:ind w:firstLine="432"/>
              <w:jc w:val="both"/>
              <w:rPr>
                <w:b w:val="0"/>
              </w:rPr>
            </w:pPr>
            <w:r w:rsidRPr="00B01F2E">
              <w:rPr>
                <w:b w:val="0"/>
              </w:rPr>
              <w:t>Ar grozīju</w:t>
            </w:r>
            <w:r w:rsidR="00096CDA">
              <w:rPr>
                <w:b w:val="0"/>
              </w:rPr>
              <w:t>mu</w:t>
            </w:r>
            <w:r w:rsidRPr="00B01F2E">
              <w:rPr>
                <w:b w:val="0"/>
              </w:rPr>
              <w:t xml:space="preserve"> saistošajos noteikumos</w:t>
            </w:r>
            <w:r w:rsidR="00096CDA">
              <w:rPr>
                <w:b w:val="0"/>
              </w:rPr>
              <w:t xml:space="preserve"> 11.punkts tiek papildināts ar 11.6.apakšpunktu, paredzot elektromobiļa vadītajam tiesības lietot maksas autostāvvietu bez maksas.</w:t>
            </w:r>
          </w:p>
        </w:tc>
      </w:tr>
      <w:tr w:rsidR="00096CDA" w:rsidRPr="00B01F2E" w:rsidTr="006759E3">
        <w:trPr>
          <w:cantSplit/>
          <w:trHeight w:val="786"/>
        </w:trPr>
        <w:tc>
          <w:tcPr>
            <w:tcW w:w="3314" w:type="dxa"/>
            <w:tcBorders>
              <w:top w:val="single" w:sz="4" w:space="0" w:color="auto"/>
              <w:left w:val="single" w:sz="4" w:space="0" w:color="auto"/>
              <w:bottom w:val="single" w:sz="4" w:space="0" w:color="auto"/>
              <w:right w:val="single" w:sz="4" w:space="0" w:color="auto"/>
            </w:tcBorders>
          </w:tcPr>
          <w:p w:rsidR="00096CDA" w:rsidRPr="00B01F2E" w:rsidRDefault="00096CDA" w:rsidP="00096CDA">
            <w:pPr>
              <w:pStyle w:val="naisf"/>
              <w:spacing w:before="120" w:beforeAutospacing="0" w:after="120" w:afterAutospacing="0"/>
              <w:jc w:val="left"/>
              <w:rPr>
                <w:rFonts w:eastAsia="Times New Roman"/>
                <w:bCs/>
                <w:lang w:val="lv-LV"/>
              </w:rPr>
            </w:pPr>
            <w:r w:rsidRPr="00B01F2E">
              <w:rPr>
                <w:rFonts w:eastAsia="Times New Roman"/>
                <w:bCs/>
                <w:lang w:val="lv-LV"/>
              </w:rPr>
              <w:t>3. Informācija par plānoto projekta ietekmi uz pašvaldības budžetu</w:t>
            </w:r>
          </w:p>
        </w:tc>
        <w:tc>
          <w:tcPr>
            <w:tcW w:w="5639" w:type="dxa"/>
            <w:tcBorders>
              <w:top w:val="single" w:sz="4" w:space="0" w:color="auto"/>
              <w:left w:val="single" w:sz="4" w:space="0" w:color="auto"/>
              <w:bottom w:val="single" w:sz="4" w:space="0" w:color="auto"/>
              <w:right w:val="single" w:sz="4" w:space="0" w:color="auto"/>
            </w:tcBorders>
            <w:vAlign w:val="center"/>
          </w:tcPr>
          <w:p w:rsidR="00096CDA" w:rsidRPr="00232644" w:rsidRDefault="00096CDA" w:rsidP="00096CDA">
            <w:pPr>
              <w:pStyle w:val="naisnod"/>
              <w:spacing w:before="0" w:after="0"/>
              <w:ind w:firstLine="365"/>
              <w:jc w:val="both"/>
              <w:rPr>
                <w:b w:val="0"/>
                <w:bCs w:val="0"/>
                <w:iCs/>
                <w:lang w:eastAsia="en-US"/>
              </w:rPr>
            </w:pPr>
            <w:r>
              <w:rPr>
                <w:b w:val="0"/>
              </w:rPr>
              <w:t>M</w:t>
            </w:r>
            <w:r w:rsidRPr="00232644">
              <w:rPr>
                <w:b w:val="0"/>
              </w:rPr>
              <w:t xml:space="preserve">aksas autostāvvietu </w:t>
            </w:r>
            <w:r>
              <w:rPr>
                <w:b w:val="0"/>
              </w:rPr>
              <w:t>pārvaldnieks</w:t>
            </w:r>
            <w:r w:rsidRPr="00232644">
              <w:rPr>
                <w:b w:val="0"/>
              </w:rPr>
              <w:t xml:space="preserve"> iegūtos līdzekļus </w:t>
            </w:r>
            <w:r>
              <w:rPr>
                <w:b w:val="0"/>
              </w:rPr>
              <w:t>par</w:t>
            </w:r>
            <w:r w:rsidRPr="00232644">
              <w:rPr>
                <w:b w:val="0"/>
              </w:rPr>
              <w:t xml:space="preserve"> </w:t>
            </w:r>
            <w:r>
              <w:rPr>
                <w:b w:val="0"/>
              </w:rPr>
              <w:t xml:space="preserve">maksas </w:t>
            </w:r>
            <w:r w:rsidRPr="00232644">
              <w:rPr>
                <w:b w:val="0"/>
              </w:rPr>
              <w:t>autostāvvietu lietošan</w:t>
            </w:r>
            <w:r>
              <w:rPr>
                <w:b w:val="0"/>
              </w:rPr>
              <w:t>u</w:t>
            </w:r>
            <w:r w:rsidRPr="00232644">
              <w:rPr>
                <w:b w:val="0"/>
              </w:rPr>
              <w:t xml:space="preserve"> novirza izdevumu segšanai par maksas autostāvvietu apsaimniekošanu. </w:t>
            </w:r>
            <w:r>
              <w:rPr>
                <w:b w:val="0"/>
              </w:rPr>
              <w:t>Līdz ar to</w:t>
            </w:r>
            <w:r w:rsidRPr="00232644">
              <w:rPr>
                <w:b w:val="0"/>
              </w:rPr>
              <w:t xml:space="preserve">, ar saistošo noteikumu </w:t>
            </w:r>
            <w:r>
              <w:rPr>
                <w:b w:val="0"/>
              </w:rPr>
              <w:t>projektu</w:t>
            </w:r>
            <w:r w:rsidRPr="00232644">
              <w:rPr>
                <w:b w:val="0"/>
              </w:rPr>
              <w:t xml:space="preserve"> netiek paredzēta ietekme uz pašvaldības budžetu.</w:t>
            </w:r>
          </w:p>
        </w:tc>
      </w:tr>
      <w:tr w:rsidR="00096CDA" w:rsidRPr="00C224DE" w:rsidTr="006759E3">
        <w:trPr>
          <w:cantSplit/>
          <w:trHeight w:val="1009"/>
        </w:trPr>
        <w:tc>
          <w:tcPr>
            <w:tcW w:w="3314" w:type="dxa"/>
            <w:tcBorders>
              <w:top w:val="single" w:sz="4" w:space="0" w:color="auto"/>
              <w:left w:val="single" w:sz="4" w:space="0" w:color="auto"/>
              <w:bottom w:val="single" w:sz="4" w:space="0" w:color="auto"/>
              <w:right w:val="single" w:sz="4" w:space="0" w:color="auto"/>
            </w:tcBorders>
          </w:tcPr>
          <w:p w:rsidR="00096CDA" w:rsidRPr="00B01F2E" w:rsidRDefault="00096CDA" w:rsidP="00096CDA">
            <w:pPr>
              <w:spacing w:before="120" w:after="120"/>
              <w:rPr>
                <w:bCs/>
                <w:lang w:val="lv-LV"/>
              </w:rPr>
            </w:pPr>
            <w:r w:rsidRPr="00B01F2E">
              <w:rPr>
                <w:bCs/>
                <w:lang w:val="lv-LV"/>
              </w:rPr>
              <w:t>4. Informācija par plānoto projekta ietekmi uz uzņēmējdarbības vidi pašvaldības teritorijā</w:t>
            </w:r>
          </w:p>
        </w:tc>
        <w:tc>
          <w:tcPr>
            <w:tcW w:w="5639" w:type="dxa"/>
            <w:tcBorders>
              <w:top w:val="single" w:sz="4" w:space="0" w:color="auto"/>
              <w:left w:val="single" w:sz="4" w:space="0" w:color="auto"/>
              <w:bottom w:val="single" w:sz="4" w:space="0" w:color="auto"/>
              <w:right w:val="single" w:sz="4" w:space="0" w:color="auto"/>
            </w:tcBorders>
            <w:vAlign w:val="center"/>
          </w:tcPr>
          <w:p w:rsidR="00096CDA" w:rsidRPr="00B01F2E" w:rsidRDefault="00096CDA" w:rsidP="0051390C">
            <w:pPr>
              <w:pStyle w:val="naisnod"/>
              <w:spacing w:before="0" w:after="0"/>
              <w:ind w:firstLine="365"/>
              <w:jc w:val="both"/>
              <w:rPr>
                <w:b w:val="0"/>
                <w:bCs w:val="0"/>
                <w:lang w:eastAsia="en-US"/>
              </w:rPr>
            </w:pPr>
            <w:r w:rsidRPr="00232644">
              <w:rPr>
                <w:b w:val="0"/>
              </w:rPr>
              <w:t>Netiek paredzēta būtiska ietekme uz uzņēmējdarbības vidi pašvaldības teritorijā.</w:t>
            </w:r>
          </w:p>
        </w:tc>
      </w:tr>
      <w:tr w:rsidR="00096CDA" w:rsidRPr="00B01F2E" w:rsidTr="006759E3">
        <w:trPr>
          <w:cantSplit/>
          <w:trHeight w:val="704"/>
        </w:trPr>
        <w:tc>
          <w:tcPr>
            <w:tcW w:w="3314" w:type="dxa"/>
            <w:tcBorders>
              <w:top w:val="single" w:sz="4" w:space="0" w:color="auto"/>
              <w:left w:val="single" w:sz="4" w:space="0" w:color="auto"/>
              <w:bottom w:val="single" w:sz="4" w:space="0" w:color="auto"/>
              <w:right w:val="single" w:sz="4" w:space="0" w:color="auto"/>
            </w:tcBorders>
          </w:tcPr>
          <w:p w:rsidR="00096CDA" w:rsidRPr="00B01F2E" w:rsidRDefault="00096CDA" w:rsidP="00096CDA">
            <w:pPr>
              <w:spacing w:before="120" w:after="120"/>
              <w:rPr>
                <w:bCs/>
                <w:lang w:val="lv-LV"/>
              </w:rPr>
            </w:pPr>
            <w:r w:rsidRPr="00B01F2E">
              <w:rPr>
                <w:bCs/>
                <w:lang w:val="lv-LV"/>
              </w:rPr>
              <w:t>5. Informācija par administratīvajām procedūrām</w:t>
            </w:r>
          </w:p>
        </w:tc>
        <w:tc>
          <w:tcPr>
            <w:tcW w:w="5639" w:type="dxa"/>
            <w:tcBorders>
              <w:top w:val="single" w:sz="4" w:space="0" w:color="auto"/>
              <w:left w:val="single" w:sz="4" w:space="0" w:color="auto"/>
              <w:bottom w:val="single" w:sz="4" w:space="0" w:color="auto"/>
              <w:right w:val="single" w:sz="4" w:space="0" w:color="auto"/>
            </w:tcBorders>
            <w:vAlign w:val="center"/>
          </w:tcPr>
          <w:p w:rsidR="00096CDA" w:rsidRPr="000708F1" w:rsidRDefault="00096CDA" w:rsidP="0051390C">
            <w:pPr>
              <w:pStyle w:val="naisnod"/>
              <w:spacing w:before="0" w:after="0"/>
              <w:ind w:firstLine="365"/>
              <w:jc w:val="both"/>
              <w:rPr>
                <w:b w:val="0"/>
                <w:bCs w:val="0"/>
                <w:lang w:eastAsia="en-US"/>
              </w:rPr>
            </w:pPr>
            <w:r w:rsidRPr="00273D62">
              <w:rPr>
                <w:b w:val="0"/>
                <w:bCs w:val="0"/>
                <w:lang w:eastAsia="en-US"/>
              </w:rPr>
              <w:t>Administratīvās procedūras netiek mainītas.</w:t>
            </w:r>
          </w:p>
        </w:tc>
      </w:tr>
      <w:tr w:rsidR="00096CDA" w:rsidRPr="00B01F2E" w:rsidTr="006759E3">
        <w:trPr>
          <w:cantSplit/>
          <w:trHeight w:val="672"/>
        </w:trPr>
        <w:tc>
          <w:tcPr>
            <w:tcW w:w="3314" w:type="dxa"/>
            <w:tcBorders>
              <w:top w:val="single" w:sz="4" w:space="0" w:color="auto"/>
              <w:left w:val="single" w:sz="4" w:space="0" w:color="auto"/>
              <w:bottom w:val="single" w:sz="4" w:space="0" w:color="auto"/>
              <w:right w:val="single" w:sz="4" w:space="0" w:color="auto"/>
            </w:tcBorders>
          </w:tcPr>
          <w:p w:rsidR="00096CDA" w:rsidRPr="00B01F2E" w:rsidRDefault="00096CDA" w:rsidP="00096CDA">
            <w:pPr>
              <w:spacing w:before="120" w:after="120"/>
              <w:rPr>
                <w:bCs/>
                <w:lang w:val="lv-LV"/>
              </w:rPr>
            </w:pPr>
            <w:r w:rsidRPr="00B01F2E">
              <w:rPr>
                <w:bCs/>
                <w:lang w:val="lv-LV"/>
              </w:rPr>
              <w:t>6. Informācija par konsultācijām ar privātpersonām</w:t>
            </w:r>
          </w:p>
        </w:tc>
        <w:tc>
          <w:tcPr>
            <w:tcW w:w="5639" w:type="dxa"/>
            <w:tcBorders>
              <w:top w:val="single" w:sz="4" w:space="0" w:color="auto"/>
              <w:left w:val="single" w:sz="4" w:space="0" w:color="auto"/>
              <w:bottom w:val="single" w:sz="4" w:space="0" w:color="auto"/>
              <w:right w:val="single" w:sz="4" w:space="0" w:color="auto"/>
            </w:tcBorders>
            <w:vAlign w:val="center"/>
          </w:tcPr>
          <w:p w:rsidR="00096CDA" w:rsidRPr="00B01F2E" w:rsidRDefault="00096CDA" w:rsidP="00096CDA">
            <w:pPr>
              <w:pStyle w:val="naisnod"/>
              <w:spacing w:before="0" w:after="0"/>
              <w:ind w:firstLine="365"/>
              <w:jc w:val="both"/>
              <w:rPr>
                <w:b w:val="0"/>
                <w:bCs w:val="0"/>
                <w:lang w:eastAsia="en-US"/>
              </w:rPr>
            </w:pPr>
            <w:r w:rsidRPr="00B01F2E">
              <w:rPr>
                <w:b w:val="0"/>
                <w:bCs w:val="0"/>
              </w:rPr>
              <w:t>Konsultācijas notika ar atbildīgajām institūcijām.</w:t>
            </w:r>
          </w:p>
        </w:tc>
      </w:tr>
    </w:tbl>
    <w:p w:rsidR="00445740" w:rsidRPr="006759E3" w:rsidRDefault="006759E3" w:rsidP="006759E3">
      <w:pPr>
        <w:spacing w:before="480"/>
      </w:pPr>
      <w:r w:rsidRPr="006759E3">
        <w:rPr>
          <w:lang w:val="lv-LV" w:eastAsia="ru-RU"/>
        </w:rPr>
        <w:t>Domes priekšsēdētāja vietnieks</w:t>
      </w:r>
      <w:r w:rsidRPr="006759E3">
        <w:rPr>
          <w:lang w:val="lv-LV" w:eastAsia="ru-RU"/>
        </w:rPr>
        <w:tab/>
      </w:r>
      <w:r w:rsidR="00C224DE" w:rsidRPr="00C224DE">
        <w:rPr>
          <w:i/>
          <w:lang w:val="lv-LV" w:eastAsia="ru-RU"/>
        </w:rPr>
        <w:t>(personiskais paraksts)</w:t>
      </w:r>
      <w:r w:rsidRPr="006759E3">
        <w:rPr>
          <w:lang w:val="lv-LV" w:eastAsia="ru-RU"/>
        </w:rPr>
        <w:tab/>
      </w:r>
      <w:r w:rsidRPr="006759E3">
        <w:rPr>
          <w:lang w:val="lv-LV" w:eastAsia="ru-RU"/>
        </w:rPr>
        <w:tab/>
        <w:t xml:space="preserve">     </w:t>
      </w:r>
      <w:proofErr w:type="spellStart"/>
      <w:r w:rsidRPr="006759E3">
        <w:rPr>
          <w:lang w:val="lv-LV" w:eastAsia="ru-RU"/>
        </w:rPr>
        <w:t>J.Dukšinskis</w:t>
      </w:r>
      <w:proofErr w:type="spellEnd"/>
    </w:p>
    <w:p w:rsidR="00445740" w:rsidRPr="00474ED8" w:rsidRDefault="00445740" w:rsidP="006759E3">
      <w:pPr>
        <w:spacing w:before="480"/>
        <w:rPr>
          <w:lang w:val="lv-LV"/>
        </w:rPr>
      </w:pPr>
      <w:bookmarkStart w:id="0" w:name="_GoBack"/>
      <w:bookmarkEnd w:id="0"/>
    </w:p>
    <w:sectPr w:rsidR="00445740" w:rsidRPr="00474ED8">
      <w:pgSz w:w="11906" w:h="16838"/>
      <w:pgMar w:top="567" w:right="1134"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32FD4"/>
    <w:multiLevelType w:val="hybridMultilevel"/>
    <w:tmpl w:val="E7DC6744"/>
    <w:lvl w:ilvl="0" w:tplc="EA1A892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C7B1634"/>
    <w:multiLevelType w:val="hybridMultilevel"/>
    <w:tmpl w:val="DBDE8DD2"/>
    <w:lvl w:ilvl="0" w:tplc="D5329C68">
      <w:start w:val="2"/>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68776448"/>
    <w:multiLevelType w:val="hybridMultilevel"/>
    <w:tmpl w:val="C8FE6926"/>
    <w:lvl w:ilvl="0" w:tplc="F7762D7E">
      <w:start w:val="2"/>
      <w:numFmt w:val="bullet"/>
      <w:lvlText w:val="-"/>
      <w:lvlJc w:val="left"/>
      <w:pPr>
        <w:ind w:left="792" w:hanging="360"/>
      </w:pPr>
      <w:rPr>
        <w:rFonts w:ascii="Times New Roman" w:eastAsia="Times New Roman" w:hAnsi="Times New Roman" w:cs="Times New Roman" w:hint="default"/>
      </w:rPr>
    </w:lvl>
    <w:lvl w:ilvl="1" w:tplc="04260003" w:tentative="1">
      <w:start w:val="1"/>
      <w:numFmt w:val="bullet"/>
      <w:lvlText w:val="o"/>
      <w:lvlJc w:val="left"/>
      <w:pPr>
        <w:ind w:left="1512" w:hanging="360"/>
      </w:pPr>
      <w:rPr>
        <w:rFonts w:ascii="Courier New" w:hAnsi="Courier New" w:cs="Courier New" w:hint="default"/>
      </w:rPr>
    </w:lvl>
    <w:lvl w:ilvl="2" w:tplc="04260005" w:tentative="1">
      <w:start w:val="1"/>
      <w:numFmt w:val="bullet"/>
      <w:lvlText w:val=""/>
      <w:lvlJc w:val="left"/>
      <w:pPr>
        <w:ind w:left="2232" w:hanging="360"/>
      </w:pPr>
      <w:rPr>
        <w:rFonts w:ascii="Wingdings" w:hAnsi="Wingdings" w:hint="default"/>
      </w:rPr>
    </w:lvl>
    <w:lvl w:ilvl="3" w:tplc="04260001" w:tentative="1">
      <w:start w:val="1"/>
      <w:numFmt w:val="bullet"/>
      <w:lvlText w:val=""/>
      <w:lvlJc w:val="left"/>
      <w:pPr>
        <w:ind w:left="2952" w:hanging="360"/>
      </w:pPr>
      <w:rPr>
        <w:rFonts w:ascii="Symbol" w:hAnsi="Symbol" w:hint="default"/>
      </w:rPr>
    </w:lvl>
    <w:lvl w:ilvl="4" w:tplc="04260003" w:tentative="1">
      <w:start w:val="1"/>
      <w:numFmt w:val="bullet"/>
      <w:lvlText w:val="o"/>
      <w:lvlJc w:val="left"/>
      <w:pPr>
        <w:ind w:left="3672" w:hanging="360"/>
      </w:pPr>
      <w:rPr>
        <w:rFonts w:ascii="Courier New" w:hAnsi="Courier New" w:cs="Courier New" w:hint="default"/>
      </w:rPr>
    </w:lvl>
    <w:lvl w:ilvl="5" w:tplc="04260005" w:tentative="1">
      <w:start w:val="1"/>
      <w:numFmt w:val="bullet"/>
      <w:lvlText w:val=""/>
      <w:lvlJc w:val="left"/>
      <w:pPr>
        <w:ind w:left="4392" w:hanging="360"/>
      </w:pPr>
      <w:rPr>
        <w:rFonts w:ascii="Wingdings" w:hAnsi="Wingdings" w:hint="default"/>
      </w:rPr>
    </w:lvl>
    <w:lvl w:ilvl="6" w:tplc="04260001" w:tentative="1">
      <w:start w:val="1"/>
      <w:numFmt w:val="bullet"/>
      <w:lvlText w:val=""/>
      <w:lvlJc w:val="left"/>
      <w:pPr>
        <w:ind w:left="5112" w:hanging="360"/>
      </w:pPr>
      <w:rPr>
        <w:rFonts w:ascii="Symbol" w:hAnsi="Symbol" w:hint="default"/>
      </w:rPr>
    </w:lvl>
    <w:lvl w:ilvl="7" w:tplc="04260003" w:tentative="1">
      <w:start w:val="1"/>
      <w:numFmt w:val="bullet"/>
      <w:lvlText w:val="o"/>
      <w:lvlJc w:val="left"/>
      <w:pPr>
        <w:ind w:left="5832" w:hanging="360"/>
      </w:pPr>
      <w:rPr>
        <w:rFonts w:ascii="Courier New" w:hAnsi="Courier New" w:cs="Courier New" w:hint="default"/>
      </w:rPr>
    </w:lvl>
    <w:lvl w:ilvl="8" w:tplc="04260005" w:tentative="1">
      <w:start w:val="1"/>
      <w:numFmt w:val="bullet"/>
      <w:lvlText w:val=""/>
      <w:lvlJc w:val="left"/>
      <w:pPr>
        <w:ind w:left="655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EE8"/>
    <w:rsid w:val="00023E43"/>
    <w:rsid w:val="000359FF"/>
    <w:rsid w:val="000518EB"/>
    <w:rsid w:val="0006202F"/>
    <w:rsid w:val="000653AB"/>
    <w:rsid w:val="000708F1"/>
    <w:rsid w:val="00091AC4"/>
    <w:rsid w:val="00095B9B"/>
    <w:rsid w:val="00096CDA"/>
    <w:rsid w:val="000A7C24"/>
    <w:rsid w:val="000B7B06"/>
    <w:rsid w:val="000C6296"/>
    <w:rsid w:val="000D647A"/>
    <w:rsid w:val="00125D99"/>
    <w:rsid w:val="00127C3E"/>
    <w:rsid w:val="0014503A"/>
    <w:rsid w:val="00152631"/>
    <w:rsid w:val="00155F35"/>
    <w:rsid w:val="001706D6"/>
    <w:rsid w:val="001860F6"/>
    <w:rsid w:val="0018637D"/>
    <w:rsid w:val="001C233A"/>
    <w:rsid w:val="00203D4E"/>
    <w:rsid w:val="00205251"/>
    <w:rsid w:val="00233AA4"/>
    <w:rsid w:val="00256AAC"/>
    <w:rsid w:val="00291309"/>
    <w:rsid w:val="002B1F1B"/>
    <w:rsid w:val="002C05A9"/>
    <w:rsid w:val="00311150"/>
    <w:rsid w:val="003206EF"/>
    <w:rsid w:val="003303CB"/>
    <w:rsid w:val="0035095D"/>
    <w:rsid w:val="003546D8"/>
    <w:rsid w:val="00357044"/>
    <w:rsid w:val="00361890"/>
    <w:rsid w:val="00376BA9"/>
    <w:rsid w:val="00386948"/>
    <w:rsid w:val="003B3BF4"/>
    <w:rsid w:val="003B7C01"/>
    <w:rsid w:val="003C410F"/>
    <w:rsid w:val="00401C57"/>
    <w:rsid w:val="00415F19"/>
    <w:rsid w:val="00445740"/>
    <w:rsid w:val="00474ED8"/>
    <w:rsid w:val="00490CC8"/>
    <w:rsid w:val="004E1DC9"/>
    <w:rsid w:val="0051390C"/>
    <w:rsid w:val="0052055D"/>
    <w:rsid w:val="006759E3"/>
    <w:rsid w:val="006A57AE"/>
    <w:rsid w:val="006B1017"/>
    <w:rsid w:val="006B7AA9"/>
    <w:rsid w:val="006C4145"/>
    <w:rsid w:val="007259B6"/>
    <w:rsid w:val="007A1009"/>
    <w:rsid w:val="00897F5D"/>
    <w:rsid w:val="008A7AC9"/>
    <w:rsid w:val="008C108D"/>
    <w:rsid w:val="008F75A7"/>
    <w:rsid w:val="0092306D"/>
    <w:rsid w:val="00A60363"/>
    <w:rsid w:val="00A625F5"/>
    <w:rsid w:val="00A64306"/>
    <w:rsid w:val="00A832A6"/>
    <w:rsid w:val="00AF3232"/>
    <w:rsid w:val="00AF53EB"/>
    <w:rsid w:val="00B01F2E"/>
    <w:rsid w:val="00B050B8"/>
    <w:rsid w:val="00B17D67"/>
    <w:rsid w:val="00B25240"/>
    <w:rsid w:val="00B37A05"/>
    <w:rsid w:val="00BD3203"/>
    <w:rsid w:val="00BE2217"/>
    <w:rsid w:val="00BF3844"/>
    <w:rsid w:val="00BF73F6"/>
    <w:rsid w:val="00C224DE"/>
    <w:rsid w:val="00C239BF"/>
    <w:rsid w:val="00C245C7"/>
    <w:rsid w:val="00C95F5C"/>
    <w:rsid w:val="00CD48AD"/>
    <w:rsid w:val="00CD72A2"/>
    <w:rsid w:val="00CE073C"/>
    <w:rsid w:val="00CE1D71"/>
    <w:rsid w:val="00D51EE8"/>
    <w:rsid w:val="00D853B7"/>
    <w:rsid w:val="00D86325"/>
    <w:rsid w:val="00DC2A7C"/>
    <w:rsid w:val="00DD5487"/>
    <w:rsid w:val="00E10B11"/>
    <w:rsid w:val="00E66C9B"/>
    <w:rsid w:val="00E71379"/>
    <w:rsid w:val="00E93AF9"/>
    <w:rsid w:val="00EA2856"/>
    <w:rsid w:val="00EA2FBE"/>
    <w:rsid w:val="00EA66AD"/>
    <w:rsid w:val="00EB26FC"/>
    <w:rsid w:val="00ED21E4"/>
    <w:rsid w:val="00F02217"/>
    <w:rsid w:val="00F32D1E"/>
    <w:rsid w:val="00F53C60"/>
    <w:rsid w:val="00F84302"/>
    <w:rsid w:val="00F918D9"/>
    <w:rsid w:val="00FB23FB"/>
    <w:rsid w:val="00FB4D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2210BD-9FDD-499C-AB05-4F519978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009"/>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center"/>
    </w:pPr>
    <w:rPr>
      <w:sz w:val="28"/>
      <w:lang w:val="lv-LV"/>
    </w:rPr>
  </w:style>
  <w:style w:type="paragraph" w:customStyle="1" w:styleId="naisf">
    <w:name w:val="naisf"/>
    <w:basedOn w:val="Normal"/>
    <w:pPr>
      <w:spacing w:before="100" w:beforeAutospacing="1" w:after="100" w:afterAutospacing="1"/>
      <w:jc w:val="both"/>
    </w:pPr>
    <w:rPr>
      <w:rFonts w:eastAsia="Arial Unicode MS"/>
    </w:rPr>
  </w:style>
  <w:style w:type="paragraph" w:customStyle="1" w:styleId="naisnod">
    <w:name w:val="naisnod"/>
    <w:basedOn w:val="Normal"/>
    <w:pPr>
      <w:spacing w:before="150" w:after="150"/>
      <w:jc w:val="center"/>
    </w:pPr>
    <w:rPr>
      <w:b/>
      <w:bCs/>
      <w:lang w:val="lv-LV" w:eastAsia="lv-LV"/>
    </w:rPr>
  </w:style>
  <w:style w:type="paragraph" w:customStyle="1" w:styleId="naiskr">
    <w:name w:val="naiskr"/>
    <w:basedOn w:val="Normal"/>
    <w:pPr>
      <w:spacing w:before="75" w:after="75"/>
    </w:pPr>
    <w:rPr>
      <w:lang w:val="lv-LV" w:eastAsia="lv-LV"/>
    </w:rPr>
  </w:style>
  <w:style w:type="paragraph" w:styleId="BodyTextIndent2">
    <w:name w:val="Body Text Indent 2"/>
    <w:basedOn w:val="Normal"/>
    <w:pPr>
      <w:ind w:firstLine="540"/>
      <w:jc w:val="both"/>
    </w:pPr>
    <w:rPr>
      <w:sz w:val="22"/>
      <w:lang w:val="lv-LV"/>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semiHidden/>
    <w:rsid w:val="00D853B7"/>
    <w:rPr>
      <w:rFonts w:ascii="Tahoma" w:hAnsi="Tahoma" w:cs="Tahoma"/>
      <w:sz w:val="16"/>
      <w:szCs w:val="16"/>
    </w:rPr>
  </w:style>
  <w:style w:type="paragraph" w:customStyle="1" w:styleId="tv2132">
    <w:name w:val="tv2132"/>
    <w:basedOn w:val="Normal"/>
    <w:rsid w:val="00125D99"/>
    <w:pPr>
      <w:spacing w:line="360" w:lineRule="auto"/>
      <w:ind w:firstLine="300"/>
    </w:pPr>
    <w:rPr>
      <w:color w:val="414142"/>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4352">
      <w:bodyDiv w:val="1"/>
      <w:marLeft w:val="0"/>
      <w:marRight w:val="0"/>
      <w:marTop w:val="0"/>
      <w:marBottom w:val="0"/>
      <w:divBdr>
        <w:top w:val="none" w:sz="0" w:space="0" w:color="auto"/>
        <w:left w:val="none" w:sz="0" w:space="0" w:color="auto"/>
        <w:bottom w:val="none" w:sz="0" w:space="0" w:color="auto"/>
        <w:right w:val="none" w:sz="0" w:space="0" w:color="auto"/>
      </w:divBdr>
      <w:divsChild>
        <w:div w:id="377821793">
          <w:marLeft w:val="0"/>
          <w:marRight w:val="0"/>
          <w:marTop w:val="0"/>
          <w:marBottom w:val="0"/>
          <w:divBdr>
            <w:top w:val="none" w:sz="0" w:space="0" w:color="auto"/>
            <w:left w:val="none" w:sz="0" w:space="0" w:color="auto"/>
            <w:bottom w:val="none" w:sz="0" w:space="0" w:color="auto"/>
            <w:right w:val="none" w:sz="0" w:space="0" w:color="auto"/>
          </w:divBdr>
          <w:divsChild>
            <w:div w:id="898980848">
              <w:marLeft w:val="0"/>
              <w:marRight w:val="0"/>
              <w:marTop w:val="0"/>
              <w:marBottom w:val="0"/>
              <w:divBdr>
                <w:top w:val="none" w:sz="0" w:space="0" w:color="auto"/>
                <w:left w:val="none" w:sz="0" w:space="0" w:color="auto"/>
                <w:bottom w:val="none" w:sz="0" w:space="0" w:color="auto"/>
                <w:right w:val="none" w:sz="0" w:space="0" w:color="auto"/>
              </w:divBdr>
              <w:divsChild>
                <w:div w:id="1242786942">
                  <w:marLeft w:val="0"/>
                  <w:marRight w:val="0"/>
                  <w:marTop w:val="0"/>
                  <w:marBottom w:val="0"/>
                  <w:divBdr>
                    <w:top w:val="none" w:sz="0" w:space="0" w:color="auto"/>
                    <w:left w:val="none" w:sz="0" w:space="0" w:color="auto"/>
                    <w:bottom w:val="none" w:sz="0" w:space="0" w:color="auto"/>
                    <w:right w:val="none" w:sz="0" w:space="0" w:color="auto"/>
                  </w:divBdr>
                  <w:divsChild>
                    <w:div w:id="1777410429">
                      <w:marLeft w:val="0"/>
                      <w:marRight w:val="0"/>
                      <w:marTop w:val="0"/>
                      <w:marBottom w:val="0"/>
                      <w:divBdr>
                        <w:top w:val="none" w:sz="0" w:space="0" w:color="auto"/>
                        <w:left w:val="none" w:sz="0" w:space="0" w:color="auto"/>
                        <w:bottom w:val="none" w:sz="0" w:space="0" w:color="auto"/>
                        <w:right w:val="none" w:sz="0" w:space="0" w:color="auto"/>
                      </w:divBdr>
                      <w:divsChild>
                        <w:div w:id="325523243">
                          <w:marLeft w:val="0"/>
                          <w:marRight w:val="0"/>
                          <w:marTop w:val="0"/>
                          <w:marBottom w:val="0"/>
                          <w:divBdr>
                            <w:top w:val="none" w:sz="0" w:space="0" w:color="auto"/>
                            <w:left w:val="none" w:sz="0" w:space="0" w:color="auto"/>
                            <w:bottom w:val="none" w:sz="0" w:space="0" w:color="auto"/>
                            <w:right w:val="none" w:sz="0" w:space="0" w:color="auto"/>
                          </w:divBdr>
                          <w:divsChild>
                            <w:div w:id="1455292963">
                              <w:marLeft w:val="0"/>
                              <w:marRight w:val="0"/>
                              <w:marTop w:val="0"/>
                              <w:marBottom w:val="0"/>
                              <w:divBdr>
                                <w:top w:val="none" w:sz="0" w:space="0" w:color="auto"/>
                                <w:left w:val="none" w:sz="0" w:space="0" w:color="auto"/>
                                <w:bottom w:val="none" w:sz="0" w:space="0" w:color="auto"/>
                                <w:right w:val="none" w:sz="0" w:space="0" w:color="auto"/>
                              </w:divBdr>
                              <w:divsChild>
                                <w:div w:id="552424730">
                                  <w:marLeft w:val="0"/>
                                  <w:marRight w:val="0"/>
                                  <w:marTop w:val="0"/>
                                  <w:marBottom w:val="450"/>
                                  <w:divBdr>
                                    <w:top w:val="none" w:sz="0" w:space="0" w:color="auto"/>
                                    <w:left w:val="none" w:sz="0" w:space="0" w:color="auto"/>
                                    <w:bottom w:val="none" w:sz="0" w:space="0" w:color="auto"/>
                                    <w:right w:val="none" w:sz="0" w:space="0" w:color="auto"/>
                                  </w:divBdr>
                                  <w:divsChild>
                                    <w:div w:id="716665288">
                                      <w:marLeft w:val="0"/>
                                      <w:marRight w:val="0"/>
                                      <w:marTop w:val="0"/>
                                      <w:marBottom w:val="0"/>
                                      <w:divBdr>
                                        <w:top w:val="none" w:sz="0" w:space="0" w:color="auto"/>
                                        <w:left w:val="none" w:sz="0" w:space="0" w:color="auto"/>
                                        <w:bottom w:val="none" w:sz="0" w:space="0" w:color="auto"/>
                                        <w:right w:val="none" w:sz="0" w:space="0" w:color="auto"/>
                                      </w:divBdr>
                                      <w:divsChild>
                                        <w:div w:id="1993870288">
                                          <w:marLeft w:val="0"/>
                                          <w:marRight w:val="0"/>
                                          <w:marTop w:val="0"/>
                                          <w:marBottom w:val="0"/>
                                          <w:divBdr>
                                            <w:top w:val="none" w:sz="0" w:space="0" w:color="auto"/>
                                            <w:left w:val="none" w:sz="0" w:space="0" w:color="auto"/>
                                            <w:bottom w:val="none" w:sz="0" w:space="0" w:color="auto"/>
                                            <w:right w:val="none" w:sz="0" w:space="0" w:color="auto"/>
                                          </w:divBdr>
                                          <w:divsChild>
                                            <w:div w:id="427434917">
                                              <w:marLeft w:val="0"/>
                                              <w:marRight w:val="0"/>
                                              <w:marTop w:val="0"/>
                                              <w:marBottom w:val="0"/>
                                              <w:divBdr>
                                                <w:top w:val="none" w:sz="0" w:space="0" w:color="auto"/>
                                                <w:left w:val="single" w:sz="6" w:space="0" w:color="E6E6E6"/>
                                                <w:bottom w:val="none" w:sz="0" w:space="0" w:color="auto"/>
                                                <w:right w:val="single" w:sz="6" w:space="0" w:color="E6E6E6"/>
                                              </w:divBdr>
                                              <w:divsChild>
                                                <w:div w:id="896934048">
                                                  <w:marLeft w:val="0"/>
                                                  <w:marRight w:val="0"/>
                                                  <w:marTop w:val="0"/>
                                                  <w:marBottom w:val="0"/>
                                                  <w:divBdr>
                                                    <w:top w:val="none" w:sz="0" w:space="0" w:color="auto"/>
                                                    <w:left w:val="none" w:sz="0" w:space="0" w:color="auto"/>
                                                    <w:bottom w:val="none" w:sz="0" w:space="0" w:color="auto"/>
                                                    <w:right w:val="none" w:sz="0" w:space="0" w:color="auto"/>
                                                  </w:divBdr>
                                                  <w:divsChild>
                                                    <w:div w:id="952324230">
                                                      <w:marLeft w:val="0"/>
                                                      <w:marRight w:val="0"/>
                                                      <w:marTop w:val="0"/>
                                                      <w:marBottom w:val="0"/>
                                                      <w:divBdr>
                                                        <w:top w:val="none" w:sz="0" w:space="0" w:color="auto"/>
                                                        <w:left w:val="none" w:sz="0" w:space="0" w:color="auto"/>
                                                        <w:bottom w:val="none" w:sz="0" w:space="0" w:color="auto"/>
                                                        <w:right w:val="none" w:sz="0" w:space="0" w:color="auto"/>
                                                      </w:divBdr>
                                                      <w:divsChild>
                                                        <w:div w:id="1720738117">
                                                          <w:marLeft w:val="0"/>
                                                          <w:marRight w:val="0"/>
                                                          <w:marTop w:val="0"/>
                                                          <w:marBottom w:val="0"/>
                                                          <w:divBdr>
                                                            <w:top w:val="none" w:sz="0" w:space="0" w:color="auto"/>
                                                            <w:left w:val="none" w:sz="0" w:space="0" w:color="auto"/>
                                                            <w:bottom w:val="none" w:sz="0" w:space="0" w:color="auto"/>
                                                            <w:right w:val="none" w:sz="0" w:space="0" w:color="auto"/>
                                                          </w:divBdr>
                                                          <w:divsChild>
                                                            <w:div w:id="863636083">
                                                              <w:marLeft w:val="0"/>
                                                              <w:marRight w:val="0"/>
                                                              <w:marTop w:val="0"/>
                                                              <w:marBottom w:val="0"/>
                                                              <w:divBdr>
                                                                <w:top w:val="none" w:sz="0" w:space="0" w:color="auto"/>
                                                                <w:left w:val="none" w:sz="0" w:space="0" w:color="auto"/>
                                                                <w:bottom w:val="none" w:sz="0" w:space="0" w:color="auto"/>
                                                                <w:right w:val="none" w:sz="0" w:space="0" w:color="auto"/>
                                                              </w:divBdr>
                                                              <w:divsChild>
                                                                <w:div w:id="5025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246158">
      <w:bodyDiv w:val="1"/>
      <w:marLeft w:val="0"/>
      <w:marRight w:val="0"/>
      <w:marTop w:val="0"/>
      <w:marBottom w:val="0"/>
      <w:divBdr>
        <w:top w:val="none" w:sz="0" w:space="0" w:color="auto"/>
        <w:left w:val="none" w:sz="0" w:space="0" w:color="auto"/>
        <w:bottom w:val="none" w:sz="0" w:space="0" w:color="auto"/>
        <w:right w:val="none" w:sz="0" w:space="0" w:color="auto"/>
      </w:divBdr>
    </w:div>
    <w:div w:id="309135523">
      <w:bodyDiv w:val="1"/>
      <w:marLeft w:val="0"/>
      <w:marRight w:val="0"/>
      <w:marTop w:val="0"/>
      <w:marBottom w:val="0"/>
      <w:divBdr>
        <w:top w:val="none" w:sz="0" w:space="0" w:color="auto"/>
        <w:left w:val="none" w:sz="0" w:space="0" w:color="auto"/>
        <w:bottom w:val="none" w:sz="0" w:space="0" w:color="auto"/>
        <w:right w:val="none" w:sz="0" w:space="0" w:color="auto"/>
      </w:divBdr>
      <w:divsChild>
        <w:div w:id="340134122">
          <w:marLeft w:val="0"/>
          <w:marRight w:val="0"/>
          <w:marTop w:val="0"/>
          <w:marBottom w:val="0"/>
          <w:divBdr>
            <w:top w:val="none" w:sz="0" w:space="0" w:color="auto"/>
            <w:left w:val="none" w:sz="0" w:space="0" w:color="auto"/>
            <w:bottom w:val="none" w:sz="0" w:space="0" w:color="auto"/>
            <w:right w:val="none" w:sz="0" w:space="0" w:color="auto"/>
          </w:divBdr>
          <w:divsChild>
            <w:div w:id="30496041">
              <w:marLeft w:val="0"/>
              <w:marRight w:val="0"/>
              <w:marTop w:val="0"/>
              <w:marBottom w:val="0"/>
              <w:divBdr>
                <w:top w:val="none" w:sz="0" w:space="0" w:color="auto"/>
                <w:left w:val="none" w:sz="0" w:space="0" w:color="auto"/>
                <w:bottom w:val="none" w:sz="0" w:space="0" w:color="auto"/>
                <w:right w:val="none" w:sz="0" w:space="0" w:color="auto"/>
              </w:divBdr>
              <w:divsChild>
                <w:div w:id="1018657010">
                  <w:marLeft w:val="0"/>
                  <w:marRight w:val="0"/>
                  <w:marTop w:val="0"/>
                  <w:marBottom w:val="0"/>
                  <w:divBdr>
                    <w:top w:val="none" w:sz="0" w:space="0" w:color="auto"/>
                    <w:left w:val="none" w:sz="0" w:space="0" w:color="auto"/>
                    <w:bottom w:val="none" w:sz="0" w:space="0" w:color="auto"/>
                    <w:right w:val="none" w:sz="0" w:space="0" w:color="auto"/>
                  </w:divBdr>
                  <w:divsChild>
                    <w:div w:id="671032077">
                      <w:marLeft w:val="0"/>
                      <w:marRight w:val="0"/>
                      <w:marTop w:val="0"/>
                      <w:marBottom w:val="0"/>
                      <w:divBdr>
                        <w:top w:val="none" w:sz="0" w:space="0" w:color="auto"/>
                        <w:left w:val="none" w:sz="0" w:space="0" w:color="auto"/>
                        <w:bottom w:val="none" w:sz="0" w:space="0" w:color="auto"/>
                        <w:right w:val="none" w:sz="0" w:space="0" w:color="auto"/>
                      </w:divBdr>
                      <w:divsChild>
                        <w:div w:id="1883597134">
                          <w:marLeft w:val="0"/>
                          <w:marRight w:val="0"/>
                          <w:marTop w:val="0"/>
                          <w:marBottom w:val="0"/>
                          <w:divBdr>
                            <w:top w:val="none" w:sz="0" w:space="0" w:color="auto"/>
                            <w:left w:val="none" w:sz="0" w:space="0" w:color="auto"/>
                            <w:bottom w:val="none" w:sz="0" w:space="0" w:color="auto"/>
                            <w:right w:val="none" w:sz="0" w:space="0" w:color="auto"/>
                          </w:divBdr>
                          <w:divsChild>
                            <w:div w:id="17193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1756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Daugavpils pilsētas domes 2012</vt:lpstr>
    </vt:vector>
  </TitlesOfParts>
  <Company>pd</Company>
  <LinksUpToDate>false</LinksUpToDate>
  <CharactersWithSpaces>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 2012</dc:title>
  <dc:subject/>
  <dc:creator>marina</dc:creator>
  <cp:keywords/>
  <dc:description/>
  <cp:lastModifiedBy>Ina Skipare</cp:lastModifiedBy>
  <cp:revision>3</cp:revision>
  <cp:lastPrinted>2020-06-12T05:16:00Z</cp:lastPrinted>
  <dcterms:created xsi:type="dcterms:W3CDTF">2020-06-12T05:20:00Z</dcterms:created>
  <dcterms:modified xsi:type="dcterms:W3CDTF">2020-06-15T06:04:00Z</dcterms:modified>
</cp:coreProperties>
</file>