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30" w:rsidRDefault="00190030"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715913" r:id="rId6"/>
        </w:object>
      </w:r>
    </w:p>
    <w:p w:rsidR="00190030" w:rsidRPr="00EE4591" w:rsidRDefault="00190030" w:rsidP="00402A27">
      <w:pPr>
        <w:pStyle w:val="Title"/>
        <w:tabs>
          <w:tab w:val="left" w:pos="3969"/>
          <w:tab w:val="left" w:pos="4395"/>
        </w:tabs>
        <w:rPr>
          <w:b w:val="0"/>
          <w:bCs/>
          <w:sz w:val="24"/>
          <w:szCs w:val="24"/>
        </w:rPr>
      </w:pPr>
    </w:p>
    <w:p w:rsidR="00190030" w:rsidRDefault="00190030" w:rsidP="00402A27">
      <w:pPr>
        <w:pStyle w:val="Title"/>
        <w:tabs>
          <w:tab w:val="left" w:pos="3969"/>
          <w:tab w:val="left" w:pos="4395"/>
        </w:tabs>
        <w:rPr>
          <w:b w:val="0"/>
          <w:bCs/>
        </w:rPr>
      </w:pPr>
      <w:r>
        <w:rPr>
          <w:b w:val="0"/>
          <w:bCs/>
        </w:rPr>
        <w:t xml:space="preserve">  LATVIJAS REPUBLIKAS</w:t>
      </w:r>
    </w:p>
    <w:p w:rsidR="00190030" w:rsidRDefault="00190030" w:rsidP="00402A27">
      <w:pPr>
        <w:pStyle w:val="Title"/>
        <w:tabs>
          <w:tab w:val="left" w:pos="3969"/>
          <w:tab w:val="left" w:pos="4395"/>
        </w:tabs>
      </w:pPr>
      <w:r>
        <w:t>DAUGAVPILS PILSĒTAS DOME</w:t>
      </w:r>
    </w:p>
    <w:p w:rsidR="00190030" w:rsidRPr="00C3756E" w:rsidRDefault="00190030"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90030" w:rsidRDefault="00190030"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90030" w:rsidRDefault="00190030" w:rsidP="00402A27">
      <w:pPr>
        <w:jc w:val="center"/>
        <w:rPr>
          <w:sz w:val="18"/>
          <w:szCs w:val="18"/>
          <w:u w:val="single"/>
        </w:rPr>
      </w:pPr>
    </w:p>
    <w:p w:rsidR="00190030" w:rsidRDefault="00190030" w:rsidP="00402A27">
      <w:pPr>
        <w:jc w:val="center"/>
        <w:rPr>
          <w:b/>
          <w:sz w:val="24"/>
          <w:szCs w:val="24"/>
        </w:rPr>
      </w:pPr>
    </w:p>
    <w:p w:rsidR="00190030" w:rsidRPr="002E7F44" w:rsidRDefault="00190030" w:rsidP="00402A27">
      <w:pPr>
        <w:jc w:val="center"/>
        <w:rPr>
          <w:b/>
          <w:sz w:val="24"/>
          <w:szCs w:val="24"/>
        </w:rPr>
      </w:pPr>
      <w:r w:rsidRPr="002E7F44">
        <w:rPr>
          <w:b/>
          <w:sz w:val="24"/>
          <w:szCs w:val="24"/>
        </w:rPr>
        <w:t>LĒMUMS</w:t>
      </w:r>
    </w:p>
    <w:p w:rsidR="00190030" w:rsidRPr="002E7F44" w:rsidRDefault="00190030" w:rsidP="002E7F44">
      <w:pPr>
        <w:spacing w:after="120"/>
        <w:jc w:val="center"/>
        <w:rPr>
          <w:sz w:val="2"/>
          <w:szCs w:val="2"/>
        </w:rPr>
      </w:pPr>
    </w:p>
    <w:p w:rsidR="00190030" w:rsidRDefault="00190030" w:rsidP="002E7F44">
      <w:pPr>
        <w:jc w:val="center"/>
        <w:rPr>
          <w:szCs w:val="24"/>
        </w:rPr>
      </w:pPr>
      <w:r>
        <w:rPr>
          <w:szCs w:val="24"/>
        </w:rPr>
        <w:t>Daugavpi</w:t>
      </w:r>
      <w:r w:rsidRPr="002E7F44">
        <w:rPr>
          <w:szCs w:val="24"/>
        </w:rPr>
        <w:t>lī</w:t>
      </w:r>
    </w:p>
    <w:p w:rsidR="0073777C" w:rsidRPr="0067704B" w:rsidRDefault="0073777C" w:rsidP="00113E14">
      <w:pPr>
        <w:jc w:val="both"/>
        <w:rPr>
          <w:sz w:val="24"/>
          <w:szCs w:val="24"/>
        </w:rPr>
      </w:pPr>
    </w:p>
    <w:p w:rsidR="0073777C" w:rsidRPr="0067704B" w:rsidRDefault="0073777C" w:rsidP="00113E14">
      <w:pPr>
        <w:jc w:val="both"/>
        <w:rPr>
          <w:sz w:val="24"/>
          <w:szCs w:val="24"/>
        </w:rPr>
      </w:pPr>
    </w:p>
    <w:p w:rsidR="0073777C" w:rsidRPr="0067704B" w:rsidRDefault="00382565" w:rsidP="00113E14">
      <w:pPr>
        <w:jc w:val="both"/>
        <w:rPr>
          <w:sz w:val="24"/>
          <w:szCs w:val="24"/>
        </w:rPr>
      </w:pPr>
      <w:r w:rsidRPr="0067704B">
        <w:rPr>
          <w:sz w:val="24"/>
          <w:szCs w:val="24"/>
        </w:rPr>
        <w:t>2020.gada</w:t>
      </w:r>
      <w:r w:rsidR="00943F9A" w:rsidRPr="0067704B">
        <w:rPr>
          <w:sz w:val="24"/>
          <w:szCs w:val="24"/>
        </w:rPr>
        <w:t xml:space="preserve"> 11.jūnijā</w:t>
      </w:r>
      <w:r w:rsidR="009E65CA" w:rsidRPr="0067704B">
        <w:rPr>
          <w:sz w:val="24"/>
          <w:szCs w:val="24"/>
        </w:rPr>
        <w:t xml:space="preserve">         </w:t>
      </w:r>
      <w:r w:rsidRPr="0067704B">
        <w:rPr>
          <w:sz w:val="24"/>
          <w:szCs w:val="24"/>
        </w:rPr>
        <w:tab/>
      </w:r>
      <w:r w:rsidRPr="0067704B">
        <w:rPr>
          <w:sz w:val="24"/>
          <w:szCs w:val="24"/>
        </w:rPr>
        <w:tab/>
      </w:r>
      <w:r w:rsidRPr="0067704B">
        <w:rPr>
          <w:sz w:val="24"/>
          <w:szCs w:val="24"/>
        </w:rPr>
        <w:tab/>
        <w:t xml:space="preserve">        </w:t>
      </w:r>
      <w:r w:rsidR="0073777C" w:rsidRPr="0067704B">
        <w:rPr>
          <w:sz w:val="24"/>
          <w:szCs w:val="24"/>
        </w:rPr>
        <w:t xml:space="preserve">                                               </w:t>
      </w:r>
      <w:r w:rsidR="00C81B91">
        <w:rPr>
          <w:b/>
          <w:sz w:val="24"/>
          <w:szCs w:val="24"/>
        </w:rPr>
        <w:t>Nr.236</w:t>
      </w:r>
      <w:r w:rsidR="0073777C" w:rsidRPr="0067704B">
        <w:rPr>
          <w:sz w:val="24"/>
          <w:szCs w:val="24"/>
        </w:rPr>
        <w:t xml:space="preserve">   </w:t>
      </w:r>
    </w:p>
    <w:p w:rsidR="0073777C" w:rsidRPr="0067704B" w:rsidRDefault="0073777C" w:rsidP="00113E14">
      <w:pPr>
        <w:ind w:firstLine="709"/>
        <w:jc w:val="both"/>
        <w:rPr>
          <w:sz w:val="24"/>
          <w:szCs w:val="24"/>
        </w:rPr>
      </w:pPr>
      <w:r w:rsidRPr="0067704B">
        <w:rPr>
          <w:sz w:val="24"/>
          <w:szCs w:val="24"/>
        </w:rPr>
        <w:t xml:space="preserve">         </w:t>
      </w:r>
      <w:r w:rsidR="009E65CA" w:rsidRPr="0067704B">
        <w:rPr>
          <w:sz w:val="24"/>
          <w:szCs w:val="24"/>
        </w:rPr>
        <w:t xml:space="preserve">          </w:t>
      </w:r>
      <w:r w:rsidR="00B64E45" w:rsidRPr="0067704B">
        <w:rPr>
          <w:sz w:val="24"/>
          <w:szCs w:val="24"/>
        </w:rPr>
        <w:t xml:space="preserve">                                                                                              </w:t>
      </w:r>
      <w:r w:rsidR="00943F9A" w:rsidRPr="0067704B">
        <w:rPr>
          <w:sz w:val="24"/>
          <w:szCs w:val="24"/>
        </w:rPr>
        <w:t xml:space="preserve"> (prot. Nr.25</w:t>
      </w:r>
      <w:r w:rsidR="002340FD" w:rsidRPr="0067704B">
        <w:rPr>
          <w:sz w:val="24"/>
          <w:szCs w:val="24"/>
        </w:rPr>
        <w:t>,</w:t>
      </w:r>
      <w:r w:rsidR="00C946E8" w:rsidRPr="0067704B">
        <w:rPr>
          <w:sz w:val="24"/>
          <w:szCs w:val="24"/>
        </w:rPr>
        <w:t xml:space="preserve"> </w:t>
      </w:r>
      <w:r w:rsidR="002340FD" w:rsidRPr="0067704B">
        <w:rPr>
          <w:sz w:val="24"/>
          <w:szCs w:val="24"/>
        </w:rPr>
        <w:t xml:space="preserve"> </w:t>
      </w:r>
      <w:r w:rsidR="00C81B91">
        <w:rPr>
          <w:sz w:val="24"/>
          <w:szCs w:val="24"/>
        </w:rPr>
        <w:t>18</w:t>
      </w:r>
      <w:r w:rsidRPr="0067704B">
        <w:rPr>
          <w:sz w:val="24"/>
          <w:szCs w:val="24"/>
        </w:rPr>
        <w:t>.§)</w:t>
      </w:r>
    </w:p>
    <w:p w:rsidR="0051197E" w:rsidRPr="0067704B" w:rsidRDefault="0051197E" w:rsidP="00113E14">
      <w:pPr>
        <w:ind w:firstLine="709"/>
        <w:jc w:val="both"/>
        <w:rPr>
          <w:sz w:val="24"/>
          <w:szCs w:val="24"/>
        </w:rPr>
      </w:pPr>
    </w:p>
    <w:p w:rsidR="00823D1B" w:rsidRPr="00823D1B" w:rsidRDefault="00823D1B" w:rsidP="00823D1B">
      <w:pPr>
        <w:keepNext/>
        <w:widowControl/>
        <w:autoSpaceDE/>
        <w:autoSpaceDN/>
        <w:adjustRightInd/>
        <w:jc w:val="center"/>
        <w:outlineLvl w:val="0"/>
        <w:rPr>
          <w:b/>
          <w:bCs/>
          <w:sz w:val="24"/>
          <w:szCs w:val="24"/>
          <w:lang w:eastAsia="en-US"/>
        </w:rPr>
      </w:pPr>
      <w:r w:rsidRPr="00823D1B">
        <w:rPr>
          <w:b/>
          <w:bCs/>
          <w:sz w:val="24"/>
          <w:szCs w:val="24"/>
          <w:lang w:eastAsia="en-US"/>
        </w:rPr>
        <w:t>Par Daugavpils pilsētas domes 2019.gada 28.novembra saistošo noteikumu Nr.34 precizēšanu</w:t>
      </w:r>
    </w:p>
    <w:p w:rsidR="00823D1B" w:rsidRPr="00823D1B" w:rsidRDefault="00823D1B" w:rsidP="00823D1B">
      <w:pPr>
        <w:widowControl/>
        <w:autoSpaceDE/>
        <w:autoSpaceDN/>
        <w:adjustRightInd/>
        <w:ind w:firstLine="720"/>
        <w:jc w:val="both"/>
        <w:rPr>
          <w:sz w:val="24"/>
          <w:szCs w:val="24"/>
          <w:lang w:eastAsia="en-US"/>
        </w:rPr>
      </w:pPr>
    </w:p>
    <w:p w:rsidR="00823D1B" w:rsidRPr="00823D1B" w:rsidRDefault="00823D1B" w:rsidP="00823D1B">
      <w:pPr>
        <w:widowControl/>
        <w:autoSpaceDE/>
        <w:autoSpaceDN/>
        <w:adjustRightInd/>
        <w:ind w:firstLine="426"/>
        <w:jc w:val="both"/>
        <w:rPr>
          <w:iCs/>
          <w:sz w:val="24"/>
          <w:szCs w:val="24"/>
          <w:lang w:eastAsia="en-US"/>
        </w:rPr>
      </w:pPr>
      <w:r w:rsidRPr="00823D1B">
        <w:rPr>
          <w:bCs/>
          <w:sz w:val="24"/>
          <w:szCs w:val="24"/>
          <w:lang w:eastAsia="en-US"/>
        </w:rPr>
        <w:t>Pamatojoties uz likuma „Par pašvaldībām” 45.panta ceturto daļu, ievērojot Vides aizsardzības un reģionālās attīstības ministrijas 2020.gada 20.marta vēstulē Nr.1-18/2674 sniegto atzinumu par Daugavpils pilsētas domes 2019.gada 28.novembra saistošiem noteikumiem Nr.34 “</w:t>
      </w:r>
      <w:r w:rsidRPr="00823D1B">
        <w:rPr>
          <w:sz w:val="24"/>
          <w:szCs w:val="24"/>
          <w:lang w:eastAsia="en-US"/>
        </w:rPr>
        <w:t>Grozījumi Daugavpils pilsētas domes 2016.gada 10.marta saistošajos noteikumos Nr.6 “Saistošie noteikumi par sabiedrisko kārtību”</w:t>
      </w:r>
      <w:r w:rsidRPr="00823D1B">
        <w:rPr>
          <w:bCs/>
          <w:sz w:val="24"/>
          <w:szCs w:val="24"/>
          <w:lang w:eastAsia="en-US"/>
        </w:rPr>
        <w:t>”,</w:t>
      </w:r>
      <w:r w:rsidR="00BA7231" w:rsidRPr="00BA7231">
        <w:rPr>
          <w:rFonts w:eastAsia="Calibri"/>
          <w:color w:val="FF0000"/>
          <w:sz w:val="24"/>
          <w:szCs w:val="24"/>
          <w:lang w:eastAsia="en-US"/>
        </w:rPr>
        <w:t xml:space="preserve"> </w:t>
      </w:r>
      <w:r w:rsidR="00BA7231" w:rsidRPr="00BA7231">
        <w:rPr>
          <w:rFonts w:eastAsia="Calibri"/>
          <w:sz w:val="24"/>
          <w:szCs w:val="24"/>
          <w:lang w:eastAsia="en-US"/>
        </w:rPr>
        <w:t>atklāti balsojot: PAR – 1</w:t>
      </w:r>
      <w:r w:rsidR="00BA7231">
        <w:rPr>
          <w:rFonts w:eastAsia="Calibri"/>
          <w:sz w:val="24"/>
          <w:szCs w:val="24"/>
          <w:lang w:eastAsia="en-US"/>
        </w:rPr>
        <w:t>4</w:t>
      </w:r>
      <w:r w:rsidR="00BA7231" w:rsidRPr="00BA7231">
        <w:rPr>
          <w:rFonts w:eastAsia="Calibri"/>
          <w:sz w:val="24"/>
          <w:szCs w:val="24"/>
          <w:lang w:eastAsia="en-US"/>
        </w:rPr>
        <w:t xml:space="preserve"> (A.Broks, J.Dukšinskis, R.Eigims, A.Elksniņš, A.Gržibovskis, L.Jankovska, R.Joksts, I.Kokina, V.Kononovs, N.Kožanova,  J.Lāčplēsis, I.Prelatovs, H.Soldatjonoka, A.Zdanovskis), PRET – nav, ATTURAS –</w:t>
      </w:r>
      <w:r w:rsidR="00BA7231">
        <w:rPr>
          <w:rFonts w:eastAsia="Calibri"/>
          <w:sz w:val="24"/>
          <w:szCs w:val="24"/>
          <w:lang w:eastAsia="en-US"/>
        </w:rPr>
        <w:t xml:space="preserve"> 1 (</w:t>
      </w:r>
      <w:r w:rsidR="00BA7231" w:rsidRPr="00BA7231">
        <w:rPr>
          <w:rFonts w:eastAsia="Calibri"/>
          <w:sz w:val="24"/>
          <w:szCs w:val="24"/>
          <w:lang w:eastAsia="en-US"/>
        </w:rPr>
        <w:t>M.Lavrenovs</w:t>
      </w:r>
      <w:r w:rsidR="00BA7231">
        <w:rPr>
          <w:rFonts w:eastAsia="Calibri"/>
          <w:sz w:val="24"/>
          <w:szCs w:val="24"/>
          <w:lang w:eastAsia="en-US"/>
        </w:rPr>
        <w:t>)</w:t>
      </w:r>
      <w:r w:rsidR="00BA7231" w:rsidRPr="00BA7231">
        <w:rPr>
          <w:rFonts w:eastAsia="Calibri"/>
          <w:sz w:val="24"/>
          <w:szCs w:val="24"/>
          <w:lang w:eastAsia="en-US"/>
        </w:rPr>
        <w:t xml:space="preserve">, </w:t>
      </w:r>
      <w:r w:rsidRPr="00823D1B">
        <w:rPr>
          <w:bCs/>
          <w:sz w:val="24"/>
          <w:szCs w:val="24"/>
          <w:lang w:eastAsia="en-US"/>
        </w:rPr>
        <w:t xml:space="preserve"> </w:t>
      </w:r>
      <w:r w:rsidRPr="00823D1B">
        <w:rPr>
          <w:b/>
          <w:sz w:val="24"/>
          <w:szCs w:val="24"/>
          <w:lang w:eastAsia="en-US"/>
        </w:rPr>
        <w:t>Daugavpils pilsētas dome nolemj:</w:t>
      </w:r>
    </w:p>
    <w:p w:rsidR="00823D1B" w:rsidRPr="00823D1B" w:rsidRDefault="00823D1B" w:rsidP="00823D1B">
      <w:pPr>
        <w:widowControl/>
        <w:autoSpaceDE/>
        <w:autoSpaceDN/>
        <w:adjustRightInd/>
        <w:jc w:val="both"/>
        <w:rPr>
          <w:bCs/>
          <w:sz w:val="24"/>
          <w:szCs w:val="24"/>
          <w:lang w:eastAsia="en-US"/>
        </w:rPr>
      </w:pPr>
    </w:p>
    <w:p w:rsidR="00823D1B" w:rsidRPr="00823D1B" w:rsidRDefault="00823D1B" w:rsidP="00823D1B">
      <w:pPr>
        <w:widowControl/>
        <w:autoSpaceDE/>
        <w:autoSpaceDN/>
        <w:adjustRightInd/>
        <w:ind w:firstLine="426"/>
        <w:jc w:val="both"/>
        <w:rPr>
          <w:bCs/>
          <w:sz w:val="24"/>
          <w:szCs w:val="24"/>
          <w:lang w:eastAsia="en-US"/>
        </w:rPr>
      </w:pPr>
      <w:r w:rsidRPr="00823D1B">
        <w:rPr>
          <w:sz w:val="24"/>
          <w:szCs w:val="24"/>
          <w:lang w:eastAsia="en-US"/>
        </w:rPr>
        <w:t xml:space="preserve">Izdarīt </w:t>
      </w:r>
      <w:r w:rsidRPr="00823D1B">
        <w:rPr>
          <w:bCs/>
          <w:sz w:val="24"/>
          <w:szCs w:val="24"/>
          <w:lang w:eastAsia="en-US"/>
        </w:rPr>
        <w:t>Daugavpils pilsētas domes 2019.gada 28.novembra saistošajos noteikumos Nr.34 “</w:t>
      </w:r>
      <w:r w:rsidRPr="00823D1B">
        <w:rPr>
          <w:sz w:val="24"/>
          <w:szCs w:val="24"/>
          <w:lang w:eastAsia="en-US"/>
        </w:rPr>
        <w:t>Grozījumi Daugavpils pilsētas domes 2016.gada 10.marta saistošajos noteikumos Nr.6 “Saistošie noteikumi par sabiedrisko kārtību”</w:t>
      </w:r>
      <w:r w:rsidRPr="00823D1B">
        <w:rPr>
          <w:bCs/>
          <w:sz w:val="24"/>
          <w:szCs w:val="24"/>
          <w:lang w:eastAsia="en-US"/>
        </w:rPr>
        <w:t>”</w:t>
      </w:r>
      <w:r w:rsidRPr="00823D1B">
        <w:rPr>
          <w:b/>
          <w:bCs/>
          <w:sz w:val="24"/>
          <w:szCs w:val="24"/>
          <w:lang w:eastAsia="en-US"/>
        </w:rPr>
        <w:t xml:space="preserve"> </w:t>
      </w:r>
      <w:r w:rsidRPr="00823D1B">
        <w:rPr>
          <w:bCs/>
          <w:sz w:val="24"/>
          <w:szCs w:val="24"/>
          <w:lang w:eastAsia="en-US"/>
        </w:rPr>
        <w:t>šādus precizējumus:</w:t>
      </w:r>
    </w:p>
    <w:p w:rsidR="00823D1B" w:rsidRPr="00823D1B" w:rsidRDefault="00823D1B" w:rsidP="00823D1B">
      <w:pPr>
        <w:widowControl/>
        <w:numPr>
          <w:ilvl w:val="0"/>
          <w:numId w:val="18"/>
        </w:numPr>
        <w:autoSpaceDE/>
        <w:autoSpaceDN/>
        <w:adjustRightInd/>
        <w:ind w:left="426" w:hanging="357"/>
        <w:jc w:val="both"/>
        <w:rPr>
          <w:sz w:val="24"/>
          <w:szCs w:val="24"/>
          <w:lang w:eastAsia="en-US"/>
        </w:rPr>
      </w:pPr>
      <w:r w:rsidRPr="00823D1B">
        <w:rPr>
          <w:sz w:val="24"/>
          <w:szCs w:val="24"/>
          <w:lang w:eastAsia="en-US"/>
        </w:rPr>
        <w:t>Izteikt 1.2.apakšpunktu šādā redakcijā:</w:t>
      </w:r>
    </w:p>
    <w:p w:rsidR="00823D1B" w:rsidRPr="00823D1B" w:rsidRDefault="00823D1B" w:rsidP="00823D1B">
      <w:pPr>
        <w:widowControl/>
        <w:autoSpaceDE/>
        <w:autoSpaceDN/>
        <w:adjustRightInd/>
        <w:ind w:left="284"/>
        <w:jc w:val="both"/>
        <w:rPr>
          <w:sz w:val="24"/>
          <w:szCs w:val="24"/>
          <w:lang w:eastAsia="en-US"/>
        </w:rPr>
      </w:pPr>
      <w:r w:rsidRPr="00823D1B">
        <w:rPr>
          <w:sz w:val="24"/>
          <w:szCs w:val="24"/>
          <w:lang w:eastAsia="en-US"/>
        </w:rPr>
        <w:t>“1.2. Papildināt 3.punktu ar 3.13.apakšpunktu šādā redakcijā:</w:t>
      </w:r>
    </w:p>
    <w:p w:rsidR="00823D1B" w:rsidRPr="00823D1B" w:rsidRDefault="00823D1B" w:rsidP="00823D1B">
      <w:pPr>
        <w:widowControl/>
        <w:autoSpaceDE/>
        <w:autoSpaceDN/>
        <w:adjustRightInd/>
        <w:ind w:left="284"/>
        <w:jc w:val="both"/>
        <w:rPr>
          <w:sz w:val="24"/>
          <w:szCs w:val="24"/>
          <w:lang w:eastAsia="en-US"/>
        </w:rPr>
      </w:pPr>
      <w:r w:rsidRPr="00823D1B">
        <w:rPr>
          <w:sz w:val="24"/>
          <w:szCs w:val="24"/>
          <w:lang w:eastAsia="en-US"/>
        </w:rPr>
        <w:t>“3.13. uzmākties ar ubagošanu.</w:t>
      </w:r>
      <w:r w:rsidRPr="00823D1B">
        <w:rPr>
          <w:sz w:val="24"/>
          <w:szCs w:val="24"/>
          <w:lang w:val="en-US" w:eastAsia="en-US"/>
        </w:rPr>
        <w:t>””.</w:t>
      </w:r>
    </w:p>
    <w:p w:rsidR="00823D1B" w:rsidRPr="00823D1B" w:rsidRDefault="00823D1B" w:rsidP="00823D1B">
      <w:pPr>
        <w:widowControl/>
        <w:numPr>
          <w:ilvl w:val="0"/>
          <w:numId w:val="18"/>
        </w:numPr>
        <w:autoSpaceDE/>
        <w:autoSpaceDN/>
        <w:adjustRightInd/>
        <w:ind w:left="426" w:hanging="357"/>
        <w:jc w:val="both"/>
        <w:rPr>
          <w:sz w:val="24"/>
          <w:szCs w:val="24"/>
          <w:lang w:eastAsia="en-US"/>
        </w:rPr>
      </w:pPr>
      <w:r w:rsidRPr="00823D1B">
        <w:rPr>
          <w:sz w:val="24"/>
          <w:szCs w:val="24"/>
          <w:lang w:eastAsia="en-US"/>
        </w:rPr>
        <w:t>Svītrot 1.3.apakšpunktu.</w:t>
      </w:r>
    </w:p>
    <w:p w:rsidR="00823D1B" w:rsidRPr="00823D1B" w:rsidRDefault="00823D1B" w:rsidP="00823D1B">
      <w:pPr>
        <w:widowControl/>
        <w:numPr>
          <w:ilvl w:val="0"/>
          <w:numId w:val="18"/>
        </w:numPr>
        <w:autoSpaceDE/>
        <w:autoSpaceDN/>
        <w:adjustRightInd/>
        <w:ind w:left="426" w:hanging="357"/>
        <w:jc w:val="both"/>
        <w:rPr>
          <w:sz w:val="24"/>
          <w:szCs w:val="24"/>
          <w:lang w:eastAsia="en-US"/>
        </w:rPr>
      </w:pPr>
      <w:r w:rsidRPr="00823D1B">
        <w:rPr>
          <w:sz w:val="24"/>
          <w:szCs w:val="24"/>
          <w:lang w:eastAsia="en-US"/>
        </w:rPr>
        <w:t>Izteikt 1.4.apakšpunktu šādā redakcijā:</w:t>
      </w:r>
    </w:p>
    <w:p w:rsidR="00823D1B" w:rsidRPr="00823D1B" w:rsidRDefault="00823D1B" w:rsidP="00823D1B">
      <w:pPr>
        <w:widowControl/>
        <w:autoSpaceDE/>
        <w:autoSpaceDN/>
        <w:adjustRightInd/>
        <w:jc w:val="both"/>
        <w:rPr>
          <w:sz w:val="24"/>
          <w:szCs w:val="24"/>
          <w:lang w:eastAsia="en-US"/>
        </w:rPr>
      </w:pPr>
      <w:r w:rsidRPr="00823D1B">
        <w:rPr>
          <w:sz w:val="24"/>
          <w:szCs w:val="24"/>
          <w:lang w:eastAsia="en-US"/>
        </w:rPr>
        <w:t>“1.4. Izteikt III. nodaļu šādā redakcijā:</w:t>
      </w:r>
    </w:p>
    <w:p w:rsidR="00823D1B" w:rsidRPr="00823D1B" w:rsidRDefault="00823D1B" w:rsidP="00823D1B">
      <w:pPr>
        <w:widowControl/>
        <w:autoSpaceDE/>
        <w:autoSpaceDN/>
        <w:adjustRightInd/>
        <w:spacing w:before="120" w:after="120"/>
        <w:jc w:val="center"/>
        <w:rPr>
          <w:b/>
          <w:sz w:val="24"/>
          <w:szCs w:val="24"/>
          <w:lang w:eastAsia="en-US"/>
        </w:rPr>
      </w:pPr>
      <w:r w:rsidRPr="00823D1B">
        <w:rPr>
          <w:sz w:val="24"/>
          <w:szCs w:val="24"/>
          <w:lang w:eastAsia="en-US"/>
        </w:rPr>
        <w:t>“</w:t>
      </w:r>
      <w:r w:rsidRPr="00823D1B">
        <w:rPr>
          <w:b/>
          <w:sz w:val="24"/>
          <w:szCs w:val="24"/>
          <w:lang w:eastAsia="en-US"/>
        </w:rPr>
        <w:t>III. Administratīvā atbildība un kompetence sodu piemērošanā</w:t>
      </w:r>
    </w:p>
    <w:p w:rsidR="00823D1B" w:rsidRPr="00823D1B" w:rsidRDefault="00823D1B" w:rsidP="00823D1B">
      <w:pPr>
        <w:widowControl/>
        <w:autoSpaceDE/>
        <w:autoSpaceDN/>
        <w:adjustRightInd/>
        <w:jc w:val="both"/>
        <w:rPr>
          <w:sz w:val="24"/>
          <w:szCs w:val="24"/>
          <w:lang w:eastAsia="en-US"/>
        </w:rPr>
      </w:pPr>
      <w:r w:rsidRPr="00823D1B">
        <w:rPr>
          <w:sz w:val="24"/>
          <w:szCs w:val="24"/>
          <w:lang w:eastAsia="en-US"/>
        </w:rPr>
        <w:t>5. Par šo noteikumu prasību neievērošanu piemēro brīdinājumu vai naudas sodu fiziskajai personai līdz simts naudas soda vienībām, bet juridiskajai personai – līdz trīs simti naudas soda vienībām.</w:t>
      </w:r>
    </w:p>
    <w:p w:rsidR="00823D1B" w:rsidRPr="00823D1B" w:rsidRDefault="00823D1B" w:rsidP="00823D1B">
      <w:pPr>
        <w:widowControl/>
        <w:autoSpaceDE/>
        <w:autoSpaceDN/>
        <w:adjustRightInd/>
        <w:jc w:val="both"/>
        <w:rPr>
          <w:sz w:val="24"/>
          <w:szCs w:val="24"/>
          <w:lang w:eastAsia="en-US"/>
        </w:rPr>
      </w:pPr>
      <w:r w:rsidRPr="00823D1B">
        <w:rPr>
          <w:sz w:val="24"/>
          <w:szCs w:val="24"/>
          <w:lang w:eastAsia="en-US"/>
        </w:rPr>
        <w:t>5.</w:t>
      </w:r>
      <w:r w:rsidRPr="00823D1B">
        <w:rPr>
          <w:sz w:val="24"/>
          <w:szCs w:val="24"/>
          <w:vertAlign w:val="superscript"/>
          <w:lang w:eastAsia="en-US"/>
        </w:rPr>
        <w:t>1</w:t>
      </w:r>
      <w:r w:rsidRPr="00823D1B">
        <w:rPr>
          <w:sz w:val="24"/>
          <w:szCs w:val="24"/>
          <w:lang w:eastAsia="en-US"/>
        </w:rPr>
        <w:t xml:space="preserve"> Administratīvā pārkāpuma procesu par šo noteikumu pārkāpumu līdz administratīvā pārkāpuma lietas izskatīšanai veic Daugavpils pilsētas pašvaldības policija. Administratīvā pārkāpuma lietu, izņemot šo noteikumu 3.2. un 3.3.apakšpunktā minēto pārkāpumu, izskata pašvaldības administratīvā komisija.</w:t>
      </w:r>
    </w:p>
    <w:p w:rsidR="00823D1B" w:rsidRPr="00823D1B" w:rsidRDefault="00823D1B" w:rsidP="00823D1B">
      <w:pPr>
        <w:widowControl/>
        <w:autoSpaceDE/>
        <w:autoSpaceDN/>
        <w:adjustRightInd/>
        <w:jc w:val="both"/>
        <w:rPr>
          <w:sz w:val="24"/>
          <w:szCs w:val="24"/>
          <w:lang w:eastAsia="en-US"/>
        </w:rPr>
      </w:pPr>
      <w:r w:rsidRPr="00823D1B">
        <w:rPr>
          <w:sz w:val="24"/>
          <w:szCs w:val="24"/>
          <w:lang w:eastAsia="en-US"/>
        </w:rPr>
        <w:t>5.</w:t>
      </w:r>
      <w:r w:rsidRPr="00823D1B">
        <w:rPr>
          <w:sz w:val="24"/>
          <w:szCs w:val="24"/>
          <w:vertAlign w:val="superscript"/>
          <w:lang w:eastAsia="en-US"/>
        </w:rPr>
        <w:t>2</w:t>
      </w:r>
      <w:r w:rsidRPr="00823D1B">
        <w:rPr>
          <w:sz w:val="24"/>
          <w:szCs w:val="24"/>
          <w:lang w:eastAsia="en-US"/>
        </w:rPr>
        <w:t xml:space="preserve"> Administratīvā pārkāpuma lietu par šo noteikumu 3.2. un 3.3.apakšpunktā minēto pārkāpumu izskata Daugavpils pilsētas pašvaldības policija.””.</w:t>
      </w:r>
    </w:p>
    <w:p w:rsidR="00823D1B" w:rsidRPr="00823D1B" w:rsidRDefault="00823D1B" w:rsidP="00823D1B">
      <w:pPr>
        <w:widowControl/>
        <w:numPr>
          <w:ilvl w:val="0"/>
          <w:numId w:val="18"/>
        </w:numPr>
        <w:autoSpaceDE/>
        <w:autoSpaceDN/>
        <w:adjustRightInd/>
        <w:spacing w:before="120"/>
        <w:ind w:left="426" w:hanging="357"/>
        <w:jc w:val="both"/>
        <w:rPr>
          <w:sz w:val="24"/>
          <w:szCs w:val="24"/>
          <w:lang w:eastAsia="en-US"/>
        </w:rPr>
      </w:pPr>
      <w:r w:rsidRPr="00823D1B">
        <w:rPr>
          <w:sz w:val="24"/>
          <w:szCs w:val="24"/>
          <w:lang w:eastAsia="en-US"/>
        </w:rPr>
        <w:lastRenderedPageBreak/>
        <w:t>Svītrot 1.5.apakšpunktu.</w:t>
      </w:r>
    </w:p>
    <w:p w:rsidR="00823D1B" w:rsidRDefault="00823D1B" w:rsidP="00823D1B">
      <w:pPr>
        <w:widowControl/>
        <w:autoSpaceDE/>
        <w:autoSpaceDN/>
        <w:adjustRightInd/>
        <w:jc w:val="both"/>
        <w:rPr>
          <w:sz w:val="24"/>
          <w:szCs w:val="24"/>
          <w:lang w:val="en-US" w:eastAsia="en-US"/>
        </w:rPr>
      </w:pPr>
    </w:p>
    <w:p w:rsidR="00823D1B" w:rsidRPr="0067704B" w:rsidRDefault="00823D1B" w:rsidP="00823D1B">
      <w:pPr>
        <w:widowControl/>
        <w:autoSpaceDE/>
        <w:autoSpaceDN/>
        <w:adjustRightInd/>
        <w:jc w:val="both"/>
        <w:rPr>
          <w:b/>
          <w:sz w:val="24"/>
          <w:szCs w:val="24"/>
          <w:lang w:eastAsia="en-US"/>
        </w:rPr>
      </w:pPr>
    </w:p>
    <w:p w:rsidR="00B64E45" w:rsidRPr="0067704B" w:rsidRDefault="00C81B91" w:rsidP="00113E14">
      <w:pPr>
        <w:keepNext/>
        <w:widowControl/>
        <w:tabs>
          <w:tab w:val="left" w:pos="5400"/>
        </w:tabs>
        <w:autoSpaceDE/>
        <w:autoSpaceDN/>
        <w:adjustRightInd/>
        <w:jc w:val="both"/>
        <w:outlineLvl w:val="0"/>
        <w:rPr>
          <w:b/>
          <w:bCs/>
          <w:sz w:val="24"/>
          <w:szCs w:val="24"/>
          <w:lang w:eastAsia="en-US"/>
        </w:rPr>
      </w:pPr>
      <w:r>
        <w:rPr>
          <w:sz w:val="24"/>
          <w:szCs w:val="24"/>
          <w:lang w:eastAsia="ru-RU"/>
        </w:rPr>
        <w:t>Domes priekšsēdētāj</w:t>
      </w:r>
      <w:bookmarkStart w:id="2" w:name="_GoBack"/>
      <w:bookmarkEnd w:id="2"/>
      <w:r>
        <w:rPr>
          <w:sz w:val="24"/>
          <w:szCs w:val="24"/>
          <w:lang w:eastAsia="ru-RU"/>
        </w:rPr>
        <w:t>a vietnieks</w:t>
      </w:r>
      <w:r w:rsidR="00190030">
        <w:rPr>
          <w:sz w:val="24"/>
          <w:szCs w:val="24"/>
          <w:lang w:eastAsia="ru-RU"/>
        </w:rPr>
        <w:t xml:space="preserve">     </w:t>
      </w:r>
      <w:r w:rsidR="00190030" w:rsidRPr="00190030">
        <w:rPr>
          <w:i/>
          <w:sz w:val="24"/>
          <w:szCs w:val="24"/>
          <w:lang w:eastAsia="ru-RU"/>
        </w:rPr>
        <w:t>(personiskais paraksts)</w:t>
      </w:r>
      <w:r w:rsidRPr="00190030">
        <w:rPr>
          <w:i/>
          <w:sz w:val="24"/>
          <w:szCs w:val="24"/>
          <w:lang w:eastAsia="ru-RU"/>
        </w:rPr>
        <w:tab/>
      </w:r>
      <w:r>
        <w:rPr>
          <w:sz w:val="24"/>
          <w:szCs w:val="24"/>
          <w:lang w:eastAsia="ru-RU"/>
        </w:rPr>
        <w:tab/>
      </w:r>
      <w:r>
        <w:rPr>
          <w:sz w:val="24"/>
          <w:szCs w:val="24"/>
          <w:lang w:eastAsia="ru-RU"/>
        </w:rPr>
        <w:tab/>
        <w:t xml:space="preserve">   </w:t>
      </w:r>
      <w:r w:rsidRPr="00037D80">
        <w:rPr>
          <w:sz w:val="24"/>
          <w:szCs w:val="24"/>
          <w:lang w:eastAsia="ru-RU"/>
        </w:rPr>
        <w:t xml:space="preserve">    </w:t>
      </w:r>
      <w:r>
        <w:rPr>
          <w:sz w:val="24"/>
          <w:szCs w:val="24"/>
          <w:lang w:eastAsia="ru-RU"/>
        </w:rPr>
        <w:t xml:space="preserve"> </w:t>
      </w:r>
      <w:proofErr w:type="spellStart"/>
      <w:r>
        <w:rPr>
          <w:sz w:val="24"/>
          <w:szCs w:val="24"/>
          <w:lang w:eastAsia="ru-RU"/>
        </w:rPr>
        <w:t>J.Dukšinskis</w:t>
      </w:r>
      <w:proofErr w:type="spellEnd"/>
    </w:p>
    <w:sectPr w:rsidR="00B64E45" w:rsidRPr="0067704B" w:rsidSect="009E458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443BFF"/>
    <w:multiLevelType w:val="hybridMultilevel"/>
    <w:tmpl w:val="E6A4DF60"/>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
  </w:num>
  <w:num w:numId="4">
    <w:abstractNumId w:val="17"/>
  </w:num>
  <w:num w:numId="5">
    <w:abstractNumId w:val="5"/>
  </w:num>
  <w:num w:numId="6">
    <w:abstractNumId w:val="12"/>
  </w:num>
  <w:num w:numId="7">
    <w:abstractNumId w:val="7"/>
  </w:num>
  <w:num w:numId="8">
    <w:abstractNumId w:val="14"/>
  </w:num>
  <w:num w:numId="9">
    <w:abstractNumId w:val="10"/>
  </w:num>
  <w:num w:numId="10">
    <w:abstractNumId w:val="15"/>
  </w:num>
  <w:num w:numId="11">
    <w:abstractNumId w:val="0"/>
  </w:num>
  <w:num w:numId="12">
    <w:abstractNumId w:val="4"/>
  </w:num>
  <w:num w:numId="13">
    <w:abstractNumId w:val="8"/>
  </w:num>
  <w:num w:numId="14">
    <w:abstractNumId w:val="13"/>
  </w:num>
  <w:num w:numId="15">
    <w:abstractNumId w:val="9"/>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F011A"/>
    <w:rsid w:val="001057A6"/>
    <w:rsid w:val="00113E14"/>
    <w:rsid w:val="00190030"/>
    <w:rsid w:val="001D5DC3"/>
    <w:rsid w:val="001E0877"/>
    <w:rsid w:val="001F0953"/>
    <w:rsid w:val="002340FD"/>
    <w:rsid w:val="0023530C"/>
    <w:rsid w:val="00382565"/>
    <w:rsid w:val="00384A62"/>
    <w:rsid w:val="003B49AD"/>
    <w:rsid w:val="003E15A8"/>
    <w:rsid w:val="0051197E"/>
    <w:rsid w:val="00517178"/>
    <w:rsid w:val="00581251"/>
    <w:rsid w:val="0067704B"/>
    <w:rsid w:val="006E0758"/>
    <w:rsid w:val="0073777C"/>
    <w:rsid w:val="007C6208"/>
    <w:rsid w:val="00823D1B"/>
    <w:rsid w:val="00880E3B"/>
    <w:rsid w:val="00943F9A"/>
    <w:rsid w:val="009A0D35"/>
    <w:rsid w:val="009C5ABB"/>
    <w:rsid w:val="009E4582"/>
    <w:rsid w:val="009E65CA"/>
    <w:rsid w:val="00A21EDD"/>
    <w:rsid w:val="00A977EB"/>
    <w:rsid w:val="00B64E45"/>
    <w:rsid w:val="00B917BE"/>
    <w:rsid w:val="00BA0099"/>
    <w:rsid w:val="00BA7231"/>
    <w:rsid w:val="00BD06B4"/>
    <w:rsid w:val="00C81B91"/>
    <w:rsid w:val="00C946E8"/>
    <w:rsid w:val="00CE4B6E"/>
    <w:rsid w:val="00D64839"/>
    <w:rsid w:val="00DA5A25"/>
    <w:rsid w:val="00E923AA"/>
    <w:rsid w:val="00E96C24"/>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90030"/>
    <w:pPr>
      <w:widowControl/>
      <w:autoSpaceDE/>
      <w:autoSpaceDN/>
      <w:adjustRightInd/>
      <w:jc w:val="center"/>
    </w:pPr>
    <w:rPr>
      <w:b/>
      <w:sz w:val="28"/>
      <w:lang w:eastAsia="ru-RU"/>
    </w:rPr>
  </w:style>
  <w:style w:type="character" w:customStyle="1" w:styleId="TitleChar">
    <w:name w:val="Title Char"/>
    <w:basedOn w:val="DefaultParagraphFont"/>
    <w:link w:val="Title"/>
    <w:rsid w:val="0019003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1624</Words>
  <Characters>926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2020-03-12T15:47:00Z</cp:lastPrinted>
  <dcterms:created xsi:type="dcterms:W3CDTF">2020-06-12T05:36:00Z</dcterms:created>
  <dcterms:modified xsi:type="dcterms:W3CDTF">2020-06-15T05:46:00Z</dcterms:modified>
</cp:coreProperties>
</file>