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69" w:rsidRDefault="00230A69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1515592" r:id="rId7"/>
        </w:object>
      </w:r>
    </w:p>
    <w:p w:rsidR="00230A69" w:rsidRPr="00EE4591" w:rsidRDefault="00230A6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30A69" w:rsidRDefault="00230A6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30A69" w:rsidRDefault="00230A6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30A69" w:rsidRPr="00C3756E" w:rsidRDefault="00230A69" w:rsidP="00402A27">
      <w:pPr>
        <w:spacing w:after="0" w:line="240" w:lineRule="auto"/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30A69" w:rsidRDefault="00230A69" w:rsidP="00402A27">
      <w:pPr>
        <w:spacing w:after="0" w:line="240" w:lineRule="auto"/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30A69" w:rsidRDefault="00230A69" w:rsidP="00402A27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230A69" w:rsidRDefault="00230A69" w:rsidP="00402A27">
      <w:pPr>
        <w:spacing w:after="0" w:line="240" w:lineRule="auto"/>
        <w:jc w:val="center"/>
        <w:rPr>
          <w:b/>
          <w:szCs w:val="24"/>
        </w:rPr>
      </w:pPr>
    </w:p>
    <w:p w:rsidR="00230A69" w:rsidRPr="002E7F44" w:rsidRDefault="00230A69" w:rsidP="00402A27">
      <w:pPr>
        <w:spacing w:after="0" w:line="240" w:lineRule="auto"/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230A69" w:rsidRPr="002E7F44" w:rsidRDefault="00230A69" w:rsidP="002E7F44">
      <w:pPr>
        <w:spacing w:after="120"/>
        <w:jc w:val="center"/>
        <w:rPr>
          <w:sz w:val="2"/>
          <w:szCs w:val="2"/>
        </w:rPr>
      </w:pPr>
    </w:p>
    <w:p w:rsidR="00230A69" w:rsidRDefault="00230A69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1683D" w:rsidRPr="00EE7AF7" w:rsidRDefault="003169FF" w:rsidP="0071683D">
      <w:pPr>
        <w:spacing w:after="0" w:line="240" w:lineRule="auto"/>
        <w:jc w:val="both"/>
        <w:rPr>
          <w:lang w:val="lv-LV"/>
        </w:rPr>
      </w:pPr>
      <w:r w:rsidRPr="00EE7AF7">
        <w:rPr>
          <w:szCs w:val="24"/>
          <w:lang w:val="lv-LV"/>
        </w:rPr>
        <w:t xml:space="preserve">2019.gada </w:t>
      </w:r>
      <w:r w:rsidR="0071683D" w:rsidRPr="00EE7AF7">
        <w:rPr>
          <w:szCs w:val="24"/>
          <w:lang w:val="lv-LV"/>
        </w:rPr>
        <w:t xml:space="preserve">26.septembrī                                                                                     </w:t>
      </w:r>
      <w:r w:rsidR="0071683D" w:rsidRPr="00EE7AF7">
        <w:rPr>
          <w:b/>
          <w:lang w:val="lv-LV"/>
        </w:rPr>
        <w:t xml:space="preserve">Nr.573 </w:t>
      </w:r>
      <w:r w:rsidR="0071683D" w:rsidRPr="00EE7AF7">
        <w:rPr>
          <w:lang w:val="lv-LV"/>
        </w:rPr>
        <w:t xml:space="preserve">                                                                            </w:t>
      </w:r>
    </w:p>
    <w:p w:rsidR="0071683D" w:rsidRPr="00EE7AF7" w:rsidRDefault="0071683D" w:rsidP="0071683D">
      <w:pPr>
        <w:spacing w:after="0" w:line="240" w:lineRule="auto"/>
        <w:jc w:val="both"/>
        <w:rPr>
          <w:b/>
          <w:lang w:val="lv-LV"/>
        </w:rPr>
      </w:pPr>
      <w:r w:rsidRPr="00EE7AF7">
        <w:rPr>
          <w:lang w:val="lv-LV"/>
        </w:rPr>
        <w:t xml:space="preserve">                                                                                                                           (prot. Nr.32, 8.§)     </w:t>
      </w:r>
      <w:r w:rsidRPr="00EE7AF7">
        <w:rPr>
          <w:b/>
          <w:lang w:val="lv-LV"/>
        </w:rPr>
        <w:t xml:space="preserve">                                                                       </w:t>
      </w:r>
      <w:r w:rsidRPr="00EE7AF7">
        <w:rPr>
          <w:lang w:val="lv-LV"/>
        </w:rPr>
        <w:t xml:space="preserve">                                        </w:t>
      </w:r>
    </w:p>
    <w:p w:rsidR="003169FF" w:rsidRPr="00EE7AF7" w:rsidRDefault="003956EE" w:rsidP="0071683D">
      <w:pPr>
        <w:pStyle w:val="BodyText"/>
        <w:spacing w:after="0" w:line="240" w:lineRule="auto"/>
        <w:ind w:left="6372" w:firstLine="708"/>
        <w:jc w:val="both"/>
        <w:rPr>
          <w:szCs w:val="24"/>
          <w:lang w:val="lv-LV"/>
        </w:rPr>
      </w:pPr>
      <w:r w:rsidRPr="00EE7AF7">
        <w:rPr>
          <w:szCs w:val="24"/>
          <w:lang w:val="lv-LV"/>
        </w:rPr>
        <w:t xml:space="preserve">      </w:t>
      </w:r>
    </w:p>
    <w:p w:rsidR="003169FF" w:rsidRPr="00EE7AF7" w:rsidRDefault="0071683D" w:rsidP="0071683D">
      <w:pPr>
        <w:spacing w:after="0" w:line="240" w:lineRule="auto"/>
        <w:jc w:val="center"/>
        <w:rPr>
          <w:b/>
          <w:szCs w:val="24"/>
          <w:lang w:val="lv-LV"/>
        </w:rPr>
      </w:pPr>
      <w:r w:rsidRPr="00EE7AF7">
        <w:rPr>
          <w:b/>
          <w:szCs w:val="24"/>
          <w:lang w:val="lv-LV"/>
        </w:rPr>
        <w:t>P</w:t>
      </w:r>
      <w:r w:rsidR="003169FF" w:rsidRPr="00EE7AF7">
        <w:rPr>
          <w:b/>
          <w:szCs w:val="24"/>
          <w:lang w:val="lv-LV"/>
        </w:rPr>
        <w:t xml:space="preserve">ar Daugavpils pilsētas </w:t>
      </w:r>
      <w:r w:rsidR="006135D7" w:rsidRPr="00EE7AF7">
        <w:rPr>
          <w:b/>
          <w:szCs w:val="24"/>
          <w:lang w:val="lv-LV"/>
        </w:rPr>
        <w:t>domes budžeta</w:t>
      </w:r>
      <w:r w:rsidR="003169FF" w:rsidRPr="00EE7AF7">
        <w:rPr>
          <w:b/>
          <w:szCs w:val="24"/>
          <w:lang w:val="lv-LV"/>
        </w:rPr>
        <w:t xml:space="preserve"> iestādes „</w:t>
      </w:r>
      <w:r w:rsidR="006130E4" w:rsidRPr="00EE7AF7">
        <w:rPr>
          <w:b/>
          <w:szCs w:val="24"/>
          <w:lang w:val="lv-LV"/>
        </w:rPr>
        <w:t>Latgales Centrālā bibliotēka</w:t>
      </w:r>
      <w:r w:rsidR="003169FF" w:rsidRPr="00EE7AF7">
        <w:rPr>
          <w:b/>
          <w:szCs w:val="24"/>
          <w:lang w:val="lv-LV"/>
        </w:rPr>
        <w:t xml:space="preserve">” </w:t>
      </w:r>
      <w:r w:rsidR="001429B1" w:rsidRPr="00EE7AF7">
        <w:rPr>
          <w:b/>
          <w:szCs w:val="24"/>
          <w:lang w:val="lv-LV"/>
        </w:rPr>
        <w:t>maksas pakalpojumu cenrādi</w:t>
      </w:r>
    </w:p>
    <w:p w:rsidR="003169FF" w:rsidRPr="00EE7AF7" w:rsidRDefault="003169FF" w:rsidP="0071683D">
      <w:pPr>
        <w:pStyle w:val="Heading1"/>
        <w:spacing w:line="240" w:lineRule="auto"/>
        <w:rPr>
          <w:b w:val="0"/>
          <w:szCs w:val="24"/>
        </w:rPr>
      </w:pPr>
    </w:p>
    <w:p w:rsidR="003169FF" w:rsidRPr="00EE7AF7" w:rsidRDefault="003169FF" w:rsidP="00EE7AF7">
      <w:pPr>
        <w:spacing w:after="0" w:line="240" w:lineRule="auto"/>
        <w:ind w:firstLine="426"/>
        <w:jc w:val="both"/>
        <w:rPr>
          <w:szCs w:val="24"/>
          <w:lang w:val="lv-LV"/>
        </w:rPr>
      </w:pPr>
      <w:r w:rsidRPr="00EE7AF7">
        <w:rPr>
          <w:szCs w:val="24"/>
          <w:lang w:val="lv-LV"/>
        </w:rPr>
        <w:t>Pamatojoties uz likuma “Par pašvaldībām“ 21.panta pirmās daļas 14.punkta a), b) un g) apakšpunkt</w:t>
      </w:r>
      <w:r w:rsidR="0056366D" w:rsidRPr="00EE7AF7">
        <w:rPr>
          <w:szCs w:val="24"/>
          <w:lang w:val="lv-LV"/>
        </w:rPr>
        <w:t>iem</w:t>
      </w:r>
      <w:r w:rsidRPr="00EE7AF7">
        <w:rPr>
          <w:szCs w:val="24"/>
          <w:lang w:val="lv-LV"/>
        </w:rPr>
        <w:t>,  Ministru kabineta 2018.gada 20.februāra noteikumu Nr. 97 “Publiskas personas mantas iznomāšanas noteikumi” 4.1.apakšpunktu un 5.punktu, Daugavpils pilsētas domes 201</w:t>
      </w:r>
      <w:r w:rsidR="00F4438E" w:rsidRPr="00EE7AF7">
        <w:rPr>
          <w:szCs w:val="24"/>
          <w:lang w:val="lv-LV"/>
        </w:rPr>
        <w:t>9</w:t>
      </w:r>
      <w:r w:rsidRPr="00EE7AF7">
        <w:rPr>
          <w:szCs w:val="24"/>
          <w:lang w:val="lv-LV"/>
        </w:rPr>
        <w:t>.gada 28.</w:t>
      </w:r>
      <w:r w:rsidR="00F4438E" w:rsidRPr="00EE7AF7">
        <w:rPr>
          <w:szCs w:val="24"/>
          <w:lang w:val="lv-LV"/>
        </w:rPr>
        <w:t>maija</w:t>
      </w:r>
      <w:r w:rsidRPr="00EE7AF7">
        <w:rPr>
          <w:szCs w:val="24"/>
          <w:lang w:val="lv-LV"/>
        </w:rPr>
        <w:t xml:space="preserve"> noteikumiem “Noteikumi par Daugavpils pilsētas pašvaldības budžeta iestāžu sniegto maksas pakalpojumu izcenojumu noteikšanas un apstiprināšanas kārtību, maksas pakalpojumu ieņēmumu un izdevumu uzskaiti”, Daugavpils pilsētas domes Izglītības un kultūras jautājumu komitej</w:t>
      </w:r>
      <w:r w:rsidR="0071683D" w:rsidRPr="00EE7AF7">
        <w:rPr>
          <w:szCs w:val="24"/>
          <w:lang w:val="lv-LV"/>
        </w:rPr>
        <w:t xml:space="preserve">as 2019.gada 19.septembra </w:t>
      </w:r>
      <w:r w:rsidRPr="00EE7AF7">
        <w:rPr>
          <w:szCs w:val="24"/>
          <w:lang w:val="lv-LV"/>
        </w:rPr>
        <w:t xml:space="preserve">sēdes </w:t>
      </w:r>
      <w:r w:rsidR="00F4438E" w:rsidRPr="00EE7AF7">
        <w:rPr>
          <w:szCs w:val="24"/>
          <w:lang w:val="lv-LV"/>
        </w:rPr>
        <w:t>atzinumu</w:t>
      </w:r>
      <w:r w:rsidRPr="00EE7AF7">
        <w:rPr>
          <w:szCs w:val="24"/>
          <w:lang w:val="lv-LV"/>
        </w:rPr>
        <w:t>, Daugavpils pilsētas domes Finanšu komitej</w:t>
      </w:r>
      <w:r w:rsidR="0071683D" w:rsidRPr="00EE7AF7">
        <w:rPr>
          <w:szCs w:val="24"/>
          <w:lang w:val="lv-LV"/>
        </w:rPr>
        <w:t xml:space="preserve">as 2019.gada 19.septembra </w:t>
      </w:r>
      <w:r w:rsidRPr="00EE7AF7">
        <w:rPr>
          <w:szCs w:val="24"/>
          <w:lang w:val="lv-LV"/>
        </w:rPr>
        <w:t>sēdes</w:t>
      </w:r>
      <w:r w:rsidR="00C457DF" w:rsidRPr="00EE7AF7">
        <w:rPr>
          <w:szCs w:val="24"/>
          <w:lang w:val="lv-LV"/>
        </w:rPr>
        <w:t xml:space="preserve"> </w:t>
      </w:r>
      <w:r w:rsidR="00F4438E" w:rsidRPr="00EE7AF7">
        <w:rPr>
          <w:szCs w:val="24"/>
          <w:lang w:val="lv-LV"/>
        </w:rPr>
        <w:t>atzinumu</w:t>
      </w:r>
      <w:r w:rsidRPr="00EE7AF7">
        <w:rPr>
          <w:spacing w:val="-4"/>
          <w:szCs w:val="24"/>
          <w:lang w:val="lv-LV"/>
        </w:rPr>
        <w:t xml:space="preserve">, </w:t>
      </w:r>
      <w:r w:rsidR="00EE7AF7" w:rsidRPr="00EE7AF7">
        <w:rPr>
          <w:szCs w:val="24"/>
          <w:lang w:val="lv-LV"/>
        </w:rPr>
        <w:t>atklāti balsojot: PAR – 11 (</w:t>
      </w:r>
      <w:proofErr w:type="spellStart"/>
      <w:r w:rsidR="00EE7AF7" w:rsidRPr="00EE7AF7">
        <w:rPr>
          <w:szCs w:val="24"/>
          <w:lang w:val="lv-LV"/>
        </w:rPr>
        <w:t>A.Broks</w:t>
      </w:r>
      <w:proofErr w:type="spellEnd"/>
      <w:r w:rsidR="00EE7AF7" w:rsidRPr="00EE7AF7">
        <w:rPr>
          <w:szCs w:val="24"/>
          <w:lang w:val="lv-LV"/>
        </w:rPr>
        <w:t xml:space="preserve">, </w:t>
      </w:r>
      <w:proofErr w:type="spellStart"/>
      <w:r w:rsidR="00EE7AF7" w:rsidRPr="00EE7AF7">
        <w:rPr>
          <w:szCs w:val="24"/>
          <w:lang w:val="lv-LV"/>
        </w:rPr>
        <w:t>J.Dukšinskis</w:t>
      </w:r>
      <w:proofErr w:type="spellEnd"/>
      <w:r w:rsidR="00EE7AF7" w:rsidRPr="00EE7AF7">
        <w:rPr>
          <w:szCs w:val="24"/>
          <w:lang w:val="lv-LV"/>
        </w:rPr>
        <w:t xml:space="preserve">, </w:t>
      </w:r>
      <w:proofErr w:type="spellStart"/>
      <w:r w:rsidR="00EE7AF7" w:rsidRPr="00EE7AF7">
        <w:rPr>
          <w:szCs w:val="24"/>
          <w:lang w:val="lv-LV"/>
        </w:rPr>
        <w:t>A.Elksniņš</w:t>
      </w:r>
      <w:proofErr w:type="spellEnd"/>
      <w:r w:rsidR="00EE7AF7" w:rsidRPr="00EE7AF7">
        <w:rPr>
          <w:szCs w:val="24"/>
          <w:lang w:val="lv-LV"/>
        </w:rPr>
        <w:t xml:space="preserve">, </w:t>
      </w:r>
      <w:proofErr w:type="spellStart"/>
      <w:r w:rsidR="00EE7AF7" w:rsidRPr="00EE7AF7">
        <w:rPr>
          <w:szCs w:val="24"/>
          <w:lang w:val="lv-LV"/>
        </w:rPr>
        <w:t>R.Joksts</w:t>
      </w:r>
      <w:proofErr w:type="spellEnd"/>
      <w:r w:rsidR="00EE7AF7" w:rsidRPr="00EE7AF7">
        <w:rPr>
          <w:szCs w:val="24"/>
          <w:lang w:val="lv-LV"/>
        </w:rPr>
        <w:t xml:space="preserve">, </w:t>
      </w:r>
      <w:proofErr w:type="spellStart"/>
      <w:r w:rsidR="00EE7AF7" w:rsidRPr="00EE7AF7">
        <w:rPr>
          <w:szCs w:val="24"/>
          <w:lang w:val="lv-LV"/>
        </w:rPr>
        <w:t>I.Kokina</w:t>
      </w:r>
      <w:proofErr w:type="spellEnd"/>
      <w:r w:rsidR="00EE7AF7" w:rsidRPr="00EE7AF7">
        <w:rPr>
          <w:szCs w:val="24"/>
          <w:lang w:val="lv-LV"/>
        </w:rPr>
        <w:t xml:space="preserve">, </w:t>
      </w:r>
      <w:proofErr w:type="spellStart"/>
      <w:r w:rsidR="00EE7AF7" w:rsidRPr="00EE7AF7">
        <w:rPr>
          <w:szCs w:val="24"/>
          <w:lang w:val="lv-LV"/>
        </w:rPr>
        <w:t>V.Kononovs</w:t>
      </w:r>
      <w:proofErr w:type="spellEnd"/>
      <w:r w:rsidR="00EE7AF7" w:rsidRPr="00EE7AF7">
        <w:rPr>
          <w:szCs w:val="24"/>
          <w:lang w:val="lv-LV"/>
        </w:rPr>
        <w:t xml:space="preserve">, </w:t>
      </w:r>
      <w:proofErr w:type="spellStart"/>
      <w:r w:rsidR="00EE7AF7" w:rsidRPr="00EE7AF7">
        <w:rPr>
          <w:szCs w:val="24"/>
          <w:lang w:val="lv-LV"/>
        </w:rPr>
        <w:t>N.Kožanova</w:t>
      </w:r>
      <w:proofErr w:type="spellEnd"/>
      <w:r w:rsidR="00EE7AF7" w:rsidRPr="00EE7AF7">
        <w:rPr>
          <w:szCs w:val="24"/>
          <w:lang w:val="lv-LV"/>
        </w:rPr>
        <w:t xml:space="preserve">, </w:t>
      </w:r>
      <w:proofErr w:type="spellStart"/>
      <w:r w:rsidR="00EE7AF7" w:rsidRPr="00EE7AF7">
        <w:rPr>
          <w:szCs w:val="24"/>
          <w:lang w:val="lv-LV"/>
        </w:rPr>
        <w:t>M.Lavrenovs</w:t>
      </w:r>
      <w:proofErr w:type="spellEnd"/>
      <w:r w:rsidR="00EE7AF7" w:rsidRPr="00EE7AF7">
        <w:rPr>
          <w:szCs w:val="24"/>
          <w:lang w:val="lv-LV"/>
        </w:rPr>
        <w:t xml:space="preserve">, </w:t>
      </w:r>
      <w:proofErr w:type="spellStart"/>
      <w:r w:rsidR="00EE7AF7" w:rsidRPr="00EE7AF7">
        <w:rPr>
          <w:szCs w:val="24"/>
          <w:lang w:val="lv-LV"/>
        </w:rPr>
        <w:t>I.Prelatovs</w:t>
      </w:r>
      <w:proofErr w:type="spellEnd"/>
      <w:r w:rsidR="00EE7AF7" w:rsidRPr="00EE7AF7">
        <w:rPr>
          <w:szCs w:val="24"/>
          <w:lang w:val="lv-LV"/>
        </w:rPr>
        <w:t xml:space="preserve">,  </w:t>
      </w:r>
      <w:proofErr w:type="spellStart"/>
      <w:r w:rsidR="00EE7AF7" w:rsidRPr="00EE7AF7">
        <w:rPr>
          <w:szCs w:val="24"/>
          <w:lang w:val="lv-LV"/>
        </w:rPr>
        <w:t>H.Soldatjonoka</w:t>
      </w:r>
      <w:proofErr w:type="spellEnd"/>
      <w:r w:rsidR="00EE7AF7" w:rsidRPr="00EE7AF7">
        <w:rPr>
          <w:szCs w:val="24"/>
          <w:lang w:val="lv-LV"/>
        </w:rPr>
        <w:t xml:space="preserve">, </w:t>
      </w:r>
      <w:proofErr w:type="spellStart"/>
      <w:r w:rsidR="00EE7AF7" w:rsidRPr="00EE7AF7">
        <w:rPr>
          <w:szCs w:val="24"/>
          <w:lang w:val="lv-LV"/>
        </w:rPr>
        <w:t>A.Zdanovskis</w:t>
      </w:r>
      <w:proofErr w:type="spellEnd"/>
      <w:r w:rsidR="00EE7AF7" w:rsidRPr="00EE7AF7">
        <w:rPr>
          <w:szCs w:val="24"/>
          <w:lang w:val="lv-LV"/>
        </w:rPr>
        <w:t xml:space="preserve">), PRET – nav, ATTURAS – </w:t>
      </w:r>
      <w:proofErr w:type="spellStart"/>
      <w:r w:rsidR="00EE7AF7" w:rsidRPr="00EE7AF7">
        <w:rPr>
          <w:szCs w:val="24"/>
          <w:lang w:val="lv-LV"/>
        </w:rPr>
        <w:t>nav,</w:t>
      </w:r>
      <w:r w:rsidRPr="00EE7AF7">
        <w:rPr>
          <w:b/>
          <w:szCs w:val="24"/>
          <w:lang w:val="lv-LV"/>
        </w:rPr>
        <w:t>Daugavpils</w:t>
      </w:r>
      <w:proofErr w:type="spellEnd"/>
      <w:r w:rsidRPr="00EE7AF7">
        <w:rPr>
          <w:b/>
          <w:szCs w:val="24"/>
          <w:lang w:val="lv-LV"/>
        </w:rPr>
        <w:t xml:space="preserve"> pilsētas dome nolemj:</w:t>
      </w:r>
    </w:p>
    <w:p w:rsidR="003169FF" w:rsidRPr="0071683D" w:rsidRDefault="003169FF" w:rsidP="00EE7AF7">
      <w:pPr>
        <w:pStyle w:val="BodyTextIndent2"/>
        <w:spacing w:line="240" w:lineRule="auto"/>
        <w:ind w:firstLine="567"/>
        <w:jc w:val="both"/>
        <w:rPr>
          <w:szCs w:val="24"/>
        </w:rPr>
      </w:pPr>
    </w:p>
    <w:p w:rsidR="003169FF" w:rsidRPr="0071683D" w:rsidRDefault="003169FF" w:rsidP="0071683D">
      <w:pPr>
        <w:pStyle w:val="BodyTextIndent2"/>
        <w:spacing w:line="240" w:lineRule="auto"/>
        <w:ind w:firstLine="567"/>
        <w:jc w:val="both"/>
        <w:rPr>
          <w:szCs w:val="24"/>
        </w:rPr>
      </w:pPr>
      <w:r w:rsidRPr="0071683D">
        <w:rPr>
          <w:szCs w:val="24"/>
        </w:rPr>
        <w:t xml:space="preserve">1. Apstiprināt Daugavpils pilsētas </w:t>
      </w:r>
      <w:r w:rsidR="006135D7" w:rsidRPr="0071683D">
        <w:rPr>
          <w:szCs w:val="24"/>
        </w:rPr>
        <w:t>domes budžeta</w:t>
      </w:r>
      <w:r w:rsidRPr="0071683D">
        <w:rPr>
          <w:szCs w:val="24"/>
        </w:rPr>
        <w:t xml:space="preserve"> iestādes „</w:t>
      </w:r>
      <w:r w:rsidR="006130E4" w:rsidRPr="0071683D">
        <w:rPr>
          <w:szCs w:val="24"/>
        </w:rPr>
        <w:t>Latgales Centrālā bibliotēka</w:t>
      </w:r>
      <w:r w:rsidRPr="0071683D">
        <w:rPr>
          <w:szCs w:val="24"/>
        </w:rPr>
        <w:t>”</w:t>
      </w:r>
      <w:r w:rsidR="001429B1" w:rsidRPr="0071683D">
        <w:rPr>
          <w:szCs w:val="24"/>
        </w:rPr>
        <w:t xml:space="preserve"> </w:t>
      </w:r>
      <w:r w:rsidRPr="0071683D">
        <w:rPr>
          <w:szCs w:val="24"/>
        </w:rPr>
        <w:t>bilancē esošās nekustamās mantas iznomāšanas maksu sociālās aizsardzības, kultūras, izglītības, zinātnes, sporta un veselības aprūpes funkciju nodrošināšanai, šādā apmērā: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2896"/>
        <w:gridCol w:w="1595"/>
        <w:gridCol w:w="1350"/>
        <w:gridCol w:w="1099"/>
        <w:gridCol w:w="1225"/>
      </w:tblGrid>
      <w:tr w:rsidR="004E0C34" w:rsidRPr="0071683D" w:rsidTr="004E0C34">
        <w:tc>
          <w:tcPr>
            <w:tcW w:w="936" w:type="dxa"/>
          </w:tcPr>
          <w:p w:rsidR="004E0C34" w:rsidRPr="0071683D" w:rsidRDefault="004E0C3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Nr. p.k.</w:t>
            </w:r>
          </w:p>
        </w:tc>
        <w:tc>
          <w:tcPr>
            <w:tcW w:w="3075" w:type="dxa"/>
          </w:tcPr>
          <w:p w:rsidR="004E0C34" w:rsidRPr="0071683D" w:rsidRDefault="004E0C3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Pakalpojuma veids</w:t>
            </w:r>
          </w:p>
        </w:tc>
        <w:tc>
          <w:tcPr>
            <w:tcW w:w="1626" w:type="dxa"/>
          </w:tcPr>
          <w:p w:rsidR="004E0C34" w:rsidRPr="0071683D" w:rsidRDefault="004E0C3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Mērvienība</w:t>
            </w:r>
          </w:p>
        </w:tc>
        <w:tc>
          <w:tcPr>
            <w:tcW w:w="1417" w:type="dxa"/>
          </w:tcPr>
          <w:p w:rsidR="004E0C34" w:rsidRPr="0071683D" w:rsidRDefault="004E0C3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 xml:space="preserve">Cena bez PVN </w:t>
            </w:r>
          </w:p>
          <w:p w:rsidR="004E0C34" w:rsidRPr="0071683D" w:rsidRDefault="004E0C34" w:rsidP="0071683D">
            <w:pPr>
              <w:jc w:val="both"/>
              <w:rPr>
                <w:i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(</w:t>
            </w:r>
            <w:proofErr w:type="spellStart"/>
            <w:r w:rsidRPr="0071683D">
              <w:rPr>
                <w:i/>
                <w:szCs w:val="24"/>
                <w:lang w:val="lv-LV"/>
              </w:rPr>
              <w:t>euro</w:t>
            </w:r>
            <w:proofErr w:type="spellEnd"/>
            <w:r w:rsidRPr="0071683D">
              <w:rPr>
                <w:i/>
                <w:szCs w:val="24"/>
                <w:lang w:val="lv-LV"/>
              </w:rPr>
              <w:t>)</w:t>
            </w:r>
          </w:p>
        </w:tc>
        <w:tc>
          <w:tcPr>
            <w:tcW w:w="1134" w:type="dxa"/>
          </w:tcPr>
          <w:p w:rsidR="004E0C34" w:rsidRPr="0071683D" w:rsidRDefault="004E0C3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PVN</w:t>
            </w:r>
          </w:p>
          <w:p w:rsidR="004E0C34" w:rsidRPr="0071683D" w:rsidRDefault="004E0C34" w:rsidP="0071683D">
            <w:pPr>
              <w:jc w:val="both"/>
              <w:rPr>
                <w:i/>
                <w:szCs w:val="24"/>
                <w:lang w:val="lv-LV"/>
              </w:rPr>
            </w:pPr>
            <w:r w:rsidRPr="0071683D">
              <w:rPr>
                <w:i/>
                <w:szCs w:val="24"/>
                <w:lang w:val="lv-LV"/>
              </w:rPr>
              <w:t>(</w:t>
            </w:r>
            <w:proofErr w:type="spellStart"/>
            <w:r w:rsidRPr="0071683D">
              <w:rPr>
                <w:i/>
                <w:szCs w:val="24"/>
                <w:lang w:val="lv-LV"/>
              </w:rPr>
              <w:t>euro</w:t>
            </w:r>
            <w:proofErr w:type="spellEnd"/>
            <w:r w:rsidRPr="0071683D">
              <w:rPr>
                <w:i/>
                <w:szCs w:val="24"/>
                <w:lang w:val="lv-LV"/>
              </w:rPr>
              <w:t>)</w:t>
            </w:r>
          </w:p>
        </w:tc>
        <w:tc>
          <w:tcPr>
            <w:tcW w:w="1276" w:type="dxa"/>
          </w:tcPr>
          <w:p w:rsidR="004E0C34" w:rsidRPr="0071683D" w:rsidRDefault="004E0C3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Cena ar PVN</w:t>
            </w:r>
          </w:p>
          <w:p w:rsidR="004E0C34" w:rsidRPr="0071683D" w:rsidRDefault="004E0C34" w:rsidP="0071683D">
            <w:pPr>
              <w:jc w:val="both"/>
              <w:rPr>
                <w:i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(</w:t>
            </w:r>
            <w:proofErr w:type="spellStart"/>
            <w:r w:rsidRPr="0071683D">
              <w:rPr>
                <w:i/>
                <w:szCs w:val="24"/>
                <w:lang w:val="lv-LV"/>
              </w:rPr>
              <w:t>euro</w:t>
            </w:r>
            <w:proofErr w:type="spellEnd"/>
            <w:r w:rsidRPr="0071683D">
              <w:rPr>
                <w:i/>
                <w:szCs w:val="24"/>
                <w:lang w:val="lv-LV"/>
              </w:rPr>
              <w:t>)</w:t>
            </w:r>
          </w:p>
        </w:tc>
      </w:tr>
      <w:tr w:rsidR="004E0C34" w:rsidRPr="0071683D" w:rsidTr="004E0C34">
        <w:tc>
          <w:tcPr>
            <w:tcW w:w="936" w:type="dxa"/>
          </w:tcPr>
          <w:p w:rsidR="004E0C34" w:rsidRPr="0071683D" w:rsidRDefault="004E0C3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1.</w:t>
            </w:r>
          </w:p>
        </w:tc>
        <w:tc>
          <w:tcPr>
            <w:tcW w:w="3075" w:type="dxa"/>
          </w:tcPr>
          <w:p w:rsidR="004E0C34" w:rsidRPr="0071683D" w:rsidRDefault="004E0C3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Telpu noma</w:t>
            </w:r>
          </w:p>
        </w:tc>
        <w:tc>
          <w:tcPr>
            <w:tcW w:w="1626" w:type="dxa"/>
          </w:tcPr>
          <w:p w:rsidR="004E0C34" w:rsidRPr="0071683D" w:rsidRDefault="004E0C3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1m</w:t>
            </w:r>
            <w:r w:rsidRPr="0071683D">
              <w:rPr>
                <w:szCs w:val="24"/>
                <w:vertAlign w:val="superscript"/>
                <w:lang w:val="lv-LV"/>
              </w:rPr>
              <w:t>2</w:t>
            </w:r>
            <w:r w:rsidRPr="0071683D">
              <w:rPr>
                <w:szCs w:val="24"/>
                <w:lang w:val="lv-LV"/>
              </w:rPr>
              <w:t>/mēnesī</w:t>
            </w:r>
          </w:p>
        </w:tc>
        <w:tc>
          <w:tcPr>
            <w:tcW w:w="1417" w:type="dxa"/>
          </w:tcPr>
          <w:p w:rsidR="004E0C34" w:rsidRPr="0071683D" w:rsidRDefault="007F0E11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1,72</w:t>
            </w:r>
          </w:p>
        </w:tc>
        <w:tc>
          <w:tcPr>
            <w:tcW w:w="1134" w:type="dxa"/>
          </w:tcPr>
          <w:p w:rsidR="004E0C34" w:rsidRPr="0071683D" w:rsidRDefault="007F0E11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0,36</w:t>
            </w:r>
          </w:p>
        </w:tc>
        <w:tc>
          <w:tcPr>
            <w:tcW w:w="1276" w:type="dxa"/>
          </w:tcPr>
          <w:p w:rsidR="004E0C34" w:rsidRPr="0071683D" w:rsidRDefault="007F0E11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2,08</w:t>
            </w:r>
          </w:p>
        </w:tc>
      </w:tr>
    </w:tbl>
    <w:p w:rsidR="004E0C34" w:rsidRPr="0071683D" w:rsidRDefault="005C3156" w:rsidP="0071683D">
      <w:pPr>
        <w:pStyle w:val="BodyTextIndent2"/>
        <w:spacing w:after="120" w:line="276" w:lineRule="auto"/>
        <w:ind w:firstLine="567"/>
        <w:jc w:val="both"/>
        <w:rPr>
          <w:szCs w:val="24"/>
        </w:rPr>
      </w:pPr>
      <w:r w:rsidRPr="0071683D">
        <w:rPr>
          <w:szCs w:val="24"/>
        </w:rPr>
        <w:t>2. Apstiprināt sekojo</w:t>
      </w:r>
      <w:r w:rsidR="004E0C34" w:rsidRPr="0071683D">
        <w:rPr>
          <w:szCs w:val="24"/>
        </w:rPr>
        <w:t>šu maksu par Latgales Centrālās bibliotēkas sniegtajiem maksas pakalpojumiem: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3823"/>
        <w:gridCol w:w="1529"/>
        <w:gridCol w:w="1303"/>
        <w:gridCol w:w="1470"/>
      </w:tblGrid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Nr. p.k.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Pakalpojuma veids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 xml:space="preserve">Cena bez PVN </w:t>
            </w:r>
          </w:p>
          <w:p w:rsidR="006130E4" w:rsidRPr="0071683D" w:rsidRDefault="006130E4" w:rsidP="0071683D">
            <w:pPr>
              <w:jc w:val="both"/>
              <w:rPr>
                <w:i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(</w:t>
            </w:r>
            <w:proofErr w:type="spellStart"/>
            <w:r w:rsidRPr="0071683D">
              <w:rPr>
                <w:i/>
                <w:szCs w:val="24"/>
                <w:lang w:val="lv-LV"/>
              </w:rPr>
              <w:t>euro</w:t>
            </w:r>
            <w:proofErr w:type="spellEnd"/>
            <w:r w:rsidRPr="0071683D">
              <w:rPr>
                <w:i/>
                <w:szCs w:val="24"/>
                <w:lang w:val="lv-LV"/>
              </w:rPr>
              <w:t>)</w:t>
            </w:r>
          </w:p>
        </w:tc>
        <w:tc>
          <w:tcPr>
            <w:tcW w:w="139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PVN</w:t>
            </w:r>
          </w:p>
          <w:p w:rsidR="006130E4" w:rsidRPr="0071683D" w:rsidRDefault="006130E4" w:rsidP="0071683D">
            <w:pPr>
              <w:jc w:val="both"/>
              <w:rPr>
                <w:i/>
                <w:szCs w:val="24"/>
                <w:lang w:val="lv-LV"/>
              </w:rPr>
            </w:pPr>
            <w:r w:rsidRPr="0071683D">
              <w:rPr>
                <w:i/>
                <w:szCs w:val="24"/>
                <w:lang w:val="lv-LV"/>
              </w:rPr>
              <w:t>(</w:t>
            </w:r>
            <w:proofErr w:type="spellStart"/>
            <w:r w:rsidRPr="0071683D">
              <w:rPr>
                <w:i/>
                <w:szCs w:val="24"/>
                <w:lang w:val="lv-LV"/>
              </w:rPr>
              <w:t>euro</w:t>
            </w:r>
            <w:proofErr w:type="spellEnd"/>
            <w:r w:rsidRPr="0071683D">
              <w:rPr>
                <w:i/>
                <w:szCs w:val="24"/>
                <w:lang w:val="lv-LV"/>
              </w:rPr>
              <w:t>)</w:t>
            </w: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Cena ar PVN</w:t>
            </w:r>
          </w:p>
          <w:p w:rsidR="006130E4" w:rsidRPr="0071683D" w:rsidRDefault="006130E4" w:rsidP="0071683D">
            <w:pPr>
              <w:jc w:val="both"/>
              <w:rPr>
                <w:i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(</w:t>
            </w:r>
            <w:proofErr w:type="spellStart"/>
            <w:r w:rsidRPr="0071683D">
              <w:rPr>
                <w:i/>
                <w:szCs w:val="24"/>
                <w:lang w:val="lv-LV"/>
              </w:rPr>
              <w:t>euro</w:t>
            </w:r>
            <w:proofErr w:type="spellEnd"/>
            <w:r w:rsidRPr="0071683D">
              <w:rPr>
                <w:i/>
                <w:szCs w:val="24"/>
                <w:lang w:val="lv-LV"/>
              </w:rPr>
              <w:t>)</w:t>
            </w:r>
          </w:p>
        </w:tc>
      </w:tr>
      <w:tr w:rsidR="006130E4" w:rsidRPr="00230A69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1.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 xml:space="preserve">Ar pievienotās vērtības nodokli neapliekamie pakalpojumi 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39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1.1.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Kopēšanas pakalpojumi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39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1.1.1.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Kopijas no bibliotēkas krājuma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39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1.1.1.1.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formāts A4 – 1 lpp.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0,08</w:t>
            </w:r>
          </w:p>
        </w:tc>
        <w:tc>
          <w:tcPr>
            <w:tcW w:w="1390" w:type="dxa"/>
          </w:tcPr>
          <w:p w:rsidR="006130E4" w:rsidRPr="0071683D" w:rsidRDefault="00C457DF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-</w:t>
            </w:r>
            <w:r w:rsidRPr="0071683D">
              <w:rPr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1418" w:type="dxa"/>
          </w:tcPr>
          <w:p w:rsidR="006130E4" w:rsidRPr="0071683D" w:rsidRDefault="007F0E11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0,08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1.1.1.2.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formāts A4 – 1 lp. (uz vienas lapas abām pusēm)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0,15</w:t>
            </w:r>
          </w:p>
        </w:tc>
        <w:tc>
          <w:tcPr>
            <w:tcW w:w="1390" w:type="dxa"/>
          </w:tcPr>
          <w:p w:rsidR="006130E4" w:rsidRPr="0071683D" w:rsidRDefault="00C457DF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-</w:t>
            </w:r>
            <w:r w:rsidRPr="0071683D">
              <w:rPr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1418" w:type="dxa"/>
          </w:tcPr>
          <w:p w:rsidR="006130E4" w:rsidRPr="0071683D" w:rsidRDefault="007F0E11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0,15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5C3156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1.1.1.3</w:t>
            </w:r>
            <w:r w:rsidR="006130E4" w:rsidRPr="0071683D">
              <w:rPr>
                <w:szCs w:val="24"/>
                <w:lang w:val="lv-LV"/>
              </w:rPr>
              <w:t>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formāts A3 – 1 lpp.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0,16</w:t>
            </w:r>
          </w:p>
        </w:tc>
        <w:tc>
          <w:tcPr>
            <w:tcW w:w="1390" w:type="dxa"/>
          </w:tcPr>
          <w:p w:rsidR="006130E4" w:rsidRPr="0071683D" w:rsidRDefault="00C457DF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-</w:t>
            </w:r>
            <w:r w:rsidRPr="0071683D">
              <w:rPr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1418" w:type="dxa"/>
          </w:tcPr>
          <w:p w:rsidR="006130E4" w:rsidRPr="0071683D" w:rsidRDefault="007F0E11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0,16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5C3156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lastRenderedPageBreak/>
              <w:t>1.1.1.4</w:t>
            </w:r>
            <w:r w:rsidR="006130E4" w:rsidRPr="0071683D">
              <w:rPr>
                <w:szCs w:val="24"/>
                <w:lang w:val="lv-LV"/>
              </w:rPr>
              <w:t>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formāts A3 – 1 lp.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0,30</w:t>
            </w:r>
          </w:p>
        </w:tc>
        <w:tc>
          <w:tcPr>
            <w:tcW w:w="1390" w:type="dxa"/>
          </w:tcPr>
          <w:p w:rsidR="006130E4" w:rsidRPr="0071683D" w:rsidRDefault="00C457DF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-</w:t>
            </w:r>
            <w:r w:rsidRPr="0071683D">
              <w:rPr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1418" w:type="dxa"/>
          </w:tcPr>
          <w:p w:rsidR="006130E4" w:rsidRPr="0071683D" w:rsidRDefault="007F0E11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0,30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1.1.2.</w:t>
            </w:r>
            <w:r w:rsidR="00C457DF" w:rsidRPr="0071683D">
              <w:rPr>
                <w:b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Nakts abonements – 1 iespieddarbs vai cits materiāls</w:t>
            </w:r>
            <w:r w:rsidR="00C457DF" w:rsidRPr="0071683D">
              <w:rPr>
                <w:b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0,28</w:t>
            </w:r>
          </w:p>
        </w:tc>
        <w:tc>
          <w:tcPr>
            <w:tcW w:w="1390" w:type="dxa"/>
          </w:tcPr>
          <w:p w:rsidR="006130E4" w:rsidRPr="0071683D" w:rsidRDefault="00C457DF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-</w:t>
            </w:r>
            <w:r w:rsidRPr="0071683D">
              <w:rPr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1418" w:type="dxa"/>
          </w:tcPr>
          <w:p w:rsidR="006130E4" w:rsidRPr="0071683D" w:rsidRDefault="007F0E11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0,28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1.1.3.</w:t>
            </w:r>
            <w:r w:rsidR="00C457DF" w:rsidRPr="0071683D">
              <w:rPr>
                <w:b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Svētku un izejamo dienu abonements</w:t>
            </w:r>
            <w:r w:rsidR="00C457DF" w:rsidRPr="0071683D">
              <w:rPr>
                <w:b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0,43</w:t>
            </w:r>
          </w:p>
        </w:tc>
        <w:tc>
          <w:tcPr>
            <w:tcW w:w="1390" w:type="dxa"/>
          </w:tcPr>
          <w:p w:rsidR="006130E4" w:rsidRPr="0071683D" w:rsidRDefault="00C457DF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-</w:t>
            </w:r>
            <w:r w:rsidRPr="0071683D">
              <w:rPr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1418" w:type="dxa"/>
          </w:tcPr>
          <w:p w:rsidR="006130E4" w:rsidRPr="0071683D" w:rsidRDefault="007F0E11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0,43</w:t>
            </w:r>
          </w:p>
        </w:tc>
      </w:tr>
      <w:tr w:rsidR="006130E4" w:rsidRPr="00230A69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2.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Ar pievienotās vērtības nodokli apliekamie pakalpojumi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39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2.1.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Kopijas no apmeklētāju dokumentiem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39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2.1.1.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formāts A4 – 1 lpp.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0,08</w:t>
            </w:r>
          </w:p>
        </w:tc>
        <w:tc>
          <w:tcPr>
            <w:tcW w:w="1390" w:type="dxa"/>
          </w:tcPr>
          <w:p w:rsidR="006130E4" w:rsidRPr="0071683D" w:rsidRDefault="00415E27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0,02</w:t>
            </w:r>
          </w:p>
        </w:tc>
        <w:tc>
          <w:tcPr>
            <w:tcW w:w="1418" w:type="dxa"/>
          </w:tcPr>
          <w:p w:rsidR="006130E4" w:rsidRPr="0071683D" w:rsidRDefault="00415E27" w:rsidP="0071683D">
            <w:pPr>
              <w:jc w:val="both"/>
              <w:rPr>
                <w:color w:val="FF0000"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0,10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2.1.2.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 xml:space="preserve">formāts A4 – 1 lp. 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0,15</w:t>
            </w:r>
          </w:p>
        </w:tc>
        <w:tc>
          <w:tcPr>
            <w:tcW w:w="1390" w:type="dxa"/>
          </w:tcPr>
          <w:p w:rsidR="006130E4" w:rsidRPr="0071683D" w:rsidRDefault="00415E27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0,03</w:t>
            </w: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color w:val="FF0000"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</w:t>
            </w:r>
            <w:r w:rsidR="00415E27" w:rsidRPr="0071683D">
              <w:rPr>
                <w:szCs w:val="24"/>
                <w:lang w:val="lv-LV"/>
              </w:rPr>
              <w:t>8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2.1.3.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formāts A3 – 1 lpp.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0,16</w:t>
            </w:r>
          </w:p>
        </w:tc>
        <w:tc>
          <w:tcPr>
            <w:tcW w:w="1390" w:type="dxa"/>
          </w:tcPr>
          <w:p w:rsidR="006130E4" w:rsidRPr="0071683D" w:rsidRDefault="00415E27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0,03</w:t>
            </w: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color w:val="FF0000"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</w:t>
            </w:r>
            <w:r w:rsidR="00415E27" w:rsidRPr="0071683D">
              <w:rPr>
                <w:szCs w:val="24"/>
                <w:lang w:val="lv-LV"/>
              </w:rPr>
              <w:t>9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2.1.4.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formāts A3 – 1 lp.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0,30</w:t>
            </w:r>
          </w:p>
        </w:tc>
        <w:tc>
          <w:tcPr>
            <w:tcW w:w="1390" w:type="dxa"/>
          </w:tcPr>
          <w:p w:rsidR="006130E4" w:rsidRPr="0071683D" w:rsidRDefault="00415E27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0,06</w:t>
            </w:r>
          </w:p>
        </w:tc>
        <w:tc>
          <w:tcPr>
            <w:tcW w:w="1418" w:type="dxa"/>
          </w:tcPr>
          <w:p w:rsidR="006130E4" w:rsidRPr="0071683D" w:rsidRDefault="00415E27" w:rsidP="0071683D">
            <w:pPr>
              <w:jc w:val="both"/>
              <w:rPr>
                <w:color w:val="FF0000"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0,36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2.2.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Izdruka no datora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39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color w:val="FF0000"/>
                <w:szCs w:val="24"/>
                <w:lang w:val="lv-LV"/>
              </w:rPr>
            </w:pP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2.2.1.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 xml:space="preserve">melnbalta izdruka 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39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color w:val="FF0000"/>
                <w:szCs w:val="24"/>
                <w:lang w:val="lv-LV"/>
              </w:rPr>
            </w:pP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2.2.1.1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formāts A4 – 1 lpp.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0,08</w:t>
            </w:r>
          </w:p>
        </w:tc>
        <w:tc>
          <w:tcPr>
            <w:tcW w:w="1390" w:type="dxa"/>
          </w:tcPr>
          <w:p w:rsidR="006130E4" w:rsidRPr="0071683D" w:rsidRDefault="00415E27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0,02</w:t>
            </w:r>
          </w:p>
        </w:tc>
        <w:tc>
          <w:tcPr>
            <w:tcW w:w="1418" w:type="dxa"/>
          </w:tcPr>
          <w:p w:rsidR="006130E4" w:rsidRPr="0071683D" w:rsidRDefault="00415E27" w:rsidP="0071683D">
            <w:pPr>
              <w:jc w:val="both"/>
              <w:rPr>
                <w:color w:val="FF0000"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0,10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2.2.2.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krāsaina izdruka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39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color w:val="FF0000"/>
                <w:szCs w:val="24"/>
                <w:lang w:val="lv-LV"/>
              </w:rPr>
            </w:pP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2.2.2.1.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formāts A4 – 1 lpp.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0,15</w:t>
            </w:r>
          </w:p>
        </w:tc>
        <w:tc>
          <w:tcPr>
            <w:tcW w:w="1390" w:type="dxa"/>
          </w:tcPr>
          <w:p w:rsidR="006130E4" w:rsidRPr="0071683D" w:rsidRDefault="00415E27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0,03</w:t>
            </w:r>
          </w:p>
        </w:tc>
        <w:tc>
          <w:tcPr>
            <w:tcW w:w="1418" w:type="dxa"/>
          </w:tcPr>
          <w:p w:rsidR="006130E4" w:rsidRPr="0071683D" w:rsidRDefault="00415E27" w:rsidP="0071683D">
            <w:pPr>
              <w:jc w:val="both"/>
              <w:rPr>
                <w:color w:val="FF0000"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0,18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2.2.2.2.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attēls   1/4 lpp. no formāta A4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0,18</w:t>
            </w:r>
          </w:p>
        </w:tc>
        <w:tc>
          <w:tcPr>
            <w:tcW w:w="1390" w:type="dxa"/>
          </w:tcPr>
          <w:p w:rsidR="006130E4" w:rsidRPr="0071683D" w:rsidRDefault="00415E27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0,04</w:t>
            </w: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color w:val="FF0000"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0,22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2.2.2.3.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attēls   1/2 lpp. no formāta A4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0,27</w:t>
            </w:r>
          </w:p>
        </w:tc>
        <w:tc>
          <w:tcPr>
            <w:tcW w:w="1390" w:type="dxa"/>
          </w:tcPr>
          <w:p w:rsidR="006130E4" w:rsidRPr="0071683D" w:rsidRDefault="00415E27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0,06</w:t>
            </w: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color w:val="FF0000"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0,33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2.2.2.4.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attēls formātā A4 – 1 lpp.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0,5</w:t>
            </w:r>
            <w:r w:rsidR="00415E27" w:rsidRPr="0071683D">
              <w:rPr>
                <w:szCs w:val="24"/>
                <w:lang w:val="lv-LV"/>
              </w:rPr>
              <w:t>8</w:t>
            </w:r>
          </w:p>
        </w:tc>
        <w:tc>
          <w:tcPr>
            <w:tcW w:w="1390" w:type="dxa"/>
          </w:tcPr>
          <w:p w:rsidR="006130E4" w:rsidRPr="0071683D" w:rsidRDefault="00415E27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0,12</w:t>
            </w:r>
          </w:p>
        </w:tc>
        <w:tc>
          <w:tcPr>
            <w:tcW w:w="1418" w:type="dxa"/>
          </w:tcPr>
          <w:p w:rsidR="006130E4" w:rsidRPr="0071683D" w:rsidRDefault="00415E27" w:rsidP="0071683D">
            <w:pPr>
              <w:jc w:val="both"/>
              <w:rPr>
                <w:color w:val="FF0000"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0,70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5C3156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2.3</w:t>
            </w:r>
            <w:r w:rsidR="006130E4" w:rsidRPr="0071683D">
              <w:rPr>
                <w:b/>
                <w:szCs w:val="24"/>
                <w:lang w:val="lv-LV"/>
              </w:rPr>
              <w:t>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Skenēšana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39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color w:val="FF0000"/>
                <w:szCs w:val="24"/>
                <w:lang w:val="lv-LV"/>
              </w:rPr>
            </w:pP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5C3156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2.3</w:t>
            </w:r>
            <w:r w:rsidR="006130E4" w:rsidRPr="0071683D">
              <w:rPr>
                <w:szCs w:val="24"/>
                <w:lang w:val="lv-LV"/>
              </w:rPr>
              <w:t>.1.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viena lapa attēla formātā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0,15</w:t>
            </w:r>
          </w:p>
        </w:tc>
        <w:tc>
          <w:tcPr>
            <w:tcW w:w="1390" w:type="dxa"/>
          </w:tcPr>
          <w:p w:rsidR="006130E4" w:rsidRPr="0071683D" w:rsidRDefault="00415E27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0,03</w:t>
            </w:r>
          </w:p>
        </w:tc>
        <w:tc>
          <w:tcPr>
            <w:tcW w:w="1418" w:type="dxa"/>
          </w:tcPr>
          <w:p w:rsidR="006130E4" w:rsidRPr="0071683D" w:rsidRDefault="00415E27" w:rsidP="0071683D">
            <w:pPr>
              <w:jc w:val="both"/>
              <w:rPr>
                <w:color w:val="FF0000"/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0,18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3.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Citi pakalpojumi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39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3.1.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 xml:space="preserve">Starpbibliotēku abonementa izmantošana </w:t>
            </w:r>
          </w:p>
        </w:tc>
        <w:tc>
          <w:tcPr>
            <w:tcW w:w="154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pēc pasta pakalpojumu izmaksām</w:t>
            </w:r>
          </w:p>
        </w:tc>
        <w:tc>
          <w:tcPr>
            <w:tcW w:w="1390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6130E4" w:rsidRPr="0071683D" w:rsidRDefault="006130E4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pēc pasta pakalpojumu izmaksām</w:t>
            </w:r>
          </w:p>
        </w:tc>
      </w:tr>
      <w:tr w:rsidR="006130E4" w:rsidRPr="0071683D" w:rsidTr="006130E4">
        <w:tc>
          <w:tcPr>
            <w:tcW w:w="936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>3.2.</w:t>
            </w:r>
          </w:p>
        </w:tc>
        <w:tc>
          <w:tcPr>
            <w:tcW w:w="4180" w:type="dxa"/>
          </w:tcPr>
          <w:p w:rsidR="006130E4" w:rsidRPr="0071683D" w:rsidRDefault="006130E4" w:rsidP="0071683D">
            <w:pPr>
              <w:jc w:val="both"/>
              <w:rPr>
                <w:b/>
                <w:szCs w:val="24"/>
                <w:lang w:val="lv-LV"/>
              </w:rPr>
            </w:pPr>
            <w:r w:rsidRPr="0071683D">
              <w:rPr>
                <w:b/>
                <w:szCs w:val="24"/>
                <w:lang w:val="lv-LV"/>
              </w:rPr>
              <w:t xml:space="preserve">Maksa par </w:t>
            </w:r>
            <w:r w:rsidR="00C457DF" w:rsidRPr="0071683D">
              <w:rPr>
                <w:b/>
                <w:szCs w:val="24"/>
                <w:lang w:val="lv-LV"/>
              </w:rPr>
              <w:t>dublikāta</w:t>
            </w:r>
            <w:r w:rsidRPr="0071683D">
              <w:rPr>
                <w:b/>
                <w:szCs w:val="24"/>
                <w:lang w:val="lv-LV"/>
              </w:rPr>
              <w:t xml:space="preserve"> lasītāja kartes izsniegšanu</w:t>
            </w:r>
          </w:p>
        </w:tc>
        <w:tc>
          <w:tcPr>
            <w:tcW w:w="1540" w:type="dxa"/>
          </w:tcPr>
          <w:p w:rsidR="006130E4" w:rsidRPr="0071683D" w:rsidRDefault="001265F8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</w:t>
            </w:r>
            <w:r w:rsidR="006130E4" w:rsidRPr="0071683D">
              <w:rPr>
                <w:szCs w:val="24"/>
                <w:lang w:val="lv-LV"/>
              </w:rPr>
              <w:t>,</w:t>
            </w:r>
            <w:r w:rsidRPr="0071683D">
              <w:rPr>
                <w:szCs w:val="24"/>
                <w:lang w:val="lv-LV"/>
              </w:rPr>
              <w:t>83</w:t>
            </w:r>
          </w:p>
        </w:tc>
        <w:tc>
          <w:tcPr>
            <w:tcW w:w="1390" w:type="dxa"/>
          </w:tcPr>
          <w:p w:rsidR="006130E4" w:rsidRPr="0071683D" w:rsidRDefault="001265F8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0,17</w:t>
            </w:r>
          </w:p>
        </w:tc>
        <w:tc>
          <w:tcPr>
            <w:tcW w:w="1418" w:type="dxa"/>
          </w:tcPr>
          <w:p w:rsidR="006130E4" w:rsidRPr="0071683D" w:rsidRDefault="001265F8" w:rsidP="0071683D">
            <w:pPr>
              <w:jc w:val="both"/>
              <w:rPr>
                <w:szCs w:val="24"/>
                <w:lang w:val="lv-LV"/>
              </w:rPr>
            </w:pPr>
            <w:r w:rsidRPr="0071683D">
              <w:rPr>
                <w:szCs w:val="24"/>
                <w:lang w:val="lv-LV"/>
              </w:rPr>
              <w:t>1,00</w:t>
            </w:r>
          </w:p>
        </w:tc>
      </w:tr>
    </w:tbl>
    <w:p w:rsidR="00C457DF" w:rsidRPr="0071683D" w:rsidRDefault="00C457DF" w:rsidP="0071683D">
      <w:pPr>
        <w:spacing w:after="0" w:line="240" w:lineRule="auto"/>
        <w:jc w:val="both"/>
        <w:rPr>
          <w:szCs w:val="24"/>
          <w:lang w:val="lv-LV"/>
        </w:rPr>
      </w:pPr>
      <w:r w:rsidRPr="0071683D">
        <w:rPr>
          <w:szCs w:val="24"/>
          <w:vertAlign w:val="superscript"/>
          <w:lang w:val="lv-LV"/>
        </w:rPr>
        <w:t>1</w:t>
      </w:r>
      <w:r w:rsidR="003169FF" w:rsidRPr="0071683D">
        <w:rPr>
          <w:szCs w:val="24"/>
          <w:lang w:val="lv-LV"/>
        </w:rPr>
        <w:t xml:space="preserve"> – PVN nav piemērots, pamatojoties uz Pievienotās </w:t>
      </w:r>
      <w:r w:rsidR="00FD66D2" w:rsidRPr="0071683D">
        <w:rPr>
          <w:szCs w:val="24"/>
          <w:lang w:val="lv-LV"/>
        </w:rPr>
        <w:t>vērtības</w:t>
      </w:r>
      <w:r w:rsidR="003169FF" w:rsidRPr="0071683D">
        <w:rPr>
          <w:szCs w:val="24"/>
          <w:lang w:val="lv-LV"/>
        </w:rPr>
        <w:t xml:space="preserve"> nodokļa likuma 52.panta</w:t>
      </w:r>
      <w:r w:rsidR="001429B1" w:rsidRPr="0071683D">
        <w:rPr>
          <w:szCs w:val="24"/>
          <w:lang w:val="lv-LV"/>
        </w:rPr>
        <w:t xml:space="preserve"> pirmās daļas</w:t>
      </w:r>
      <w:r w:rsidR="003169FF" w:rsidRPr="0071683D">
        <w:rPr>
          <w:szCs w:val="24"/>
          <w:lang w:val="lv-LV"/>
        </w:rPr>
        <w:t xml:space="preserve"> 17</w:t>
      </w:r>
      <w:r w:rsidR="001429B1" w:rsidRPr="0071683D">
        <w:rPr>
          <w:szCs w:val="24"/>
          <w:lang w:val="lv-LV"/>
        </w:rPr>
        <w:t xml:space="preserve">.punkta </w:t>
      </w:r>
      <w:r w:rsidR="0056366D" w:rsidRPr="0071683D">
        <w:rPr>
          <w:szCs w:val="24"/>
          <w:lang w:val="lv-LV"/>
        </w:rPr>
        <w:t>e</w:t>
      </w:r>
      <w:r w:rsidR="008C6EA5" w:rsidRPr="0071683D">
        <w:rPr>
          <w:szCs w:val="24"/>
          <w:lang w:val="lv-LV"/>
        </w:rPr>
        <w:t>) apakš</w:t>
      </w:r>
      <w:r w:rsidR="003169FF" w:rsidRPr="0071683D">
        <w:rPr>
          <w:szCs w:val="24"/>
          <w:lang w:val="lv-LV"/>
        </w:rPr>
        <w:t>punkt</w:t>
      </w:r>
      <w:r w:rsidR="0056366D" w:rsidRPr="0071683D">
        <w:rPr>
          <w:szCs w:val="24"/>
          <w:lang w:val="lv-LV"/>
        </w:rPr>
        <w:t>u</w:t>
      </w:r>
      <w:r w:rsidR="003169FF" w:rsidRPr="0071683D">
        <w:rPr>
          <w:szCs w:val="24"/>
          <w:lang w:val="lv-LV"/>
        </w:rPr>
        <w:t>.</w:t>
      </w:r>
    </w:p>
    <w:p w:rsidR="00C457DF" w:rsidRPr="0071683D" w:rsidRDefault="00C457DF" w:rsidP="0071683D">
      <w:pPr>
        <w:spacing w:after="0" w:line="240" w:lineRule="auto"/>
        <w:jc w:val="both"/>
        <w:rPr>
          <w:szCs w:val="24"/>
          <w:lang w:val="lv-LV"/>
        </w:rPr>
      </w:pPr>
      <w:r w:rsidRPr="0071683D">
        <w:rPr>
          <w:szCs w:val="24"/>
          <w:vertAlign w:val="superscript"/>
          <w:lang w:val="lv-LV"/>
        </w:rPr>
        <w:t xml:space="preserve"> 2 </w:t>
      </w:r>
      <w:r w:rsidRPr="0071683D">
        <w:rPr>
          <w:szCs w:val="24"/>
          <w:lang w:val="lv-LV"/>
        </w:rPr>
        <w:t>– no 1.1.2. un 1.1.3. punktos minēto maksas pakalpojumu apmaksas tiek atbrīvoti pensionāri un invalīdi.</w:t>
      </w:r>
    </w:p>
    <w:p w:rsidR="00C446FA" w:rsidRPr="0071683D" w:rsidRDefault="00C457DF" w:rsidP="0071683D">
      <w:pPr>
        <w:spacing w:after="0" w:line="240" w:lineRule="auto"/>
        <w:jc w:val="both"/>
        <w:rPr>
          <w:szCs w:val="24"/>
          <w:lang w:val="lv-LV"/>
        </w:rPr>
      </w:pPr>
      <w:r w:rsidRPr="0071683D">
        <w:rPr>
          <w:szCs w:val="24"/>
          <w:vertAlign w:val="superscript"/>
          <w:lang w:val="lv-LV"/>
        </w:rPr>
        <w:t>3</w:t>
      </w:r>
      <w:r w:rsidR="00C446FA" w:rsidRPr="0071683D">
        <w:rPr>
          <w:szCs w:val="24"/>
          <w:lang w:val="lv-LV"/>
        </w:rPr>
        <w:t xml:space="preserve"> - iespieddarbu un citu materiālu ar statusu “tikai lasītava” izsniegšana uz mājām pēc bibliotēkas slēgšanas darba dienas beigās līdz nākošās </w:t>
      </w:r>
      <w:r w:rsidR="00676890" w:rsidRPr="0071683D">
        <w:rPr>
          <w:szCs w:val="24"/>
          <w:lang w:val="lv-LV"/>
        </w:rPr>
        <w:t>darba dienas rītam vai uz svētku un izejamām dienām.</w:t>
      </w:r>
    </w:p>
    <w:p w:rsidR="00EE7AF7" w:rsidRDefault="00EE7AF7" w:rsidP="0071683D">
      <w:pPr>
        <w:spacing w:after="0" w:line="240" w:lineRule="auto"/>
        <w:ind w:firstLine="567"/>
        <w:jc w:val="both"/>
        <w:rPr>
          <w:szCs w:val="24"/>
          <w:lang w:val="lv-LV"/>
        </w:rPr>
      </w:pPr>
    </w:p>
    <w:p w:rsidR="00123B36" w:rsidRPr="0071683D" w:rsidRDefault="0056366D" w:rsidP="0071683D">
      <w:pPr>
        <w:spacing w:after="0" w:line="240" w:lineRule="auto"/>
        <w:ind w:firstLine="567"/>
        <w:jc w:val="both"/>
        <w:rPr>
          <w:szCs w:val="24"/>
          <w:lang w:val="lv-LV"/>
        </w:rPr>
      </w:pPr>
      <w:r w:rsidRPr="0071683D">
        <w:rPr>
          <w:szCs w:val="24"/>
          <w:lang w:val="lv-LV"/>
        </w:rPr>
        <w:t>3</w:t>
      </w:r>
      <w:r w:rsidR="00123B36" w:rsidRPr="0071683D">
        <w:rPr>
          <w:szCs w:val="24"/>
          <w:lang w:val="lv-LV"/>
        </w:rPr>
        <w:t xml:space="preserve">. </w:t>
      </w:r>
      <w:r w:rsidR="00804159" w:rsidRPr="0071683D">
        <w:rPr>
          <w:szCs w:val="24"/>
          <w:lang w:val="lv-LV"/>
        </w:rPr>
        <w:t xml:space="preserve">Personām, kuras darbojas sabiedrības labā un telpu izmantošanas mērķis nav paredzēts peļņas gūšanai, un publiskām personām </w:t>
      </w:r>
      <w:r w:rsidR="005C3156" w:rsidRPr="0071683D">
        <w:rPr>
          <w:szCs w:val="24"/>
          <w:lang w:val="lv-LV"/>
        </w:rPr>
        <w:t>tiek</w:t>
      </w:r>
      <w:r w:rsidR="00123B36" w:rsidRPr="0071683D">
        <w:rPr>
          <w:szCs w:val="24"/>
          <w:lang w:val="lv-LV"/>
        </w:rPr>
        <w:t xml:space="preserve"> piemērota </w:t>
      </w:r>
      <w:r w:rsidR="00700634" w:rsidRPr="0071683D">
        <w:rPr>
          <w:szCs w:val="24"/>
          <w:lang w:val="lv-LV"/>
        </w:rPr>
        <w:t>4</w:t>
      </w:r>
      <w:r w:rsidR="00123B36" w:rsidRPr="0071683D">
        <w:rPr>
          <w:szCs w:val="24"/>
          <w:lang w:val="lv-LV"/>
        </w:rPr>
        <w:t>0% atlaide no šī lēmuma norādītajiem izcenojumiem</w:t>
      </w:r>
      <w:r w:rsidR="004A4F1F" w:rsidRPr="0071683D">
        <w:rPr>
          <w:szCs w:val="24"/>
          <w:lang w:val="lv-LV"/>
        </w:rPr>
        <w:t xml:space="preserve"> par bilancē esošās nekustamās mantas iznomāšan</w:t>
      </w:r>
      <w:r w:rsidR="00002FEB" w:rsidRPr="0071683D">
        <w:rPr>
          <w:szCs w:val="24"/>
          <w:lang w:val="lv-LV"/>
        </w:rPr>
        <w:t>u</w:t>
      </w:r>
      <w:r w:rsidR="00123B36" w:rsidRPr="0071683D">
        <w:rPr>
          <w:szCs w:val="24"/>
          <w:lang w:val="lv-LV"/>
        </w:rPr>
        <w:t>.</w:t>
      </w:r>
    </w:p>
    <w:p w:rsidR="00EE7AF7" w:rsidRDefault="00EE7AF7" w:rsidP="0071683D">
      <w:pPr>
        <w:spacing w:after="0" w:line="240" w:lineRule="auto"/>
        <w:ind w:firstLine="567"/>
        <w:jc w:val="both"/>
        <w:rPr>
          <w:bCs/>
          <w:szCs w:val="24"/>
          <w:lang w:val="lv-LV"/>
        </w:rPr>
      </w:pPr>
    </w:p>
    <w:p w:rsidR="003169FF" w:rsidRPr="0071683D" w:rsidRDefault="003956EE" w:rsidP="0071683D">
      <w:pPr>
        <w:spacing w:after="0" w:line="240" w:lineRule="auto"/>
        <w:ind w:firstLine="567"/>
        <w:jc w:val="both"/>
        <w:rPr>
          <w:bCs/>
          <w:szCs w:val="24"/>
          <w:lang w:val="lv-LV"/>
        </w:rPr>
      </w:pPr>
      <w:r w:rsidRPr="0071683D">
        <w:rPr>
          <w:bCs/>
          <w:szCs w:val="24"/>
          <w:lang w:val="lv-LV"/>
        </w:rPr>
        <w:t>4</w:t>
      </w:r>
      <w:r w:rsidR="003169FF" w:rsidRPr="0071683D">
        <w:rPr>
          <w:bCs/>
          <w:szCs w:val="24"/>
          <w:lang w:val="lv-LV"/>
        </w:rPr>
        <w:t>. Atzīt par spēku zaudējušu Daugavpils pilsētas domes 201</w:t>
      </w:r>
      <w:r w:rsidR="0056366D" w:rsidRPr="0071683D">
        <w:rPr>
          <w:bCs/>
          <w:szCs w:val="24"/>
          <w:lang w:val="lv-LV"/>
        </w:rPr>
        <w:t>3</w:t>
      </w:r>
      <w:r w:rsidR="003169FF" w:rsidRPr="0071683D">
        <w:rPr>
          <w:bCs/>
          <w:szCs w:val="24"/>
          <w:lang w:val="lv-LV"/>
        </w:rPr>
        <w:t>.gada 2</w:t>
      </w:r>
      <w:r w:rsidR="0056366D" w:rsidRPr="0071683D">
        <w:rPr>
          <w:bCs/>
          <w:szCs w:val="24"/>
          <w:lang w:val="lv-LV"/>
        </w:rPr>
        <w:t>4</w:t>
      </w:r>
      <w:r w:rsidR="003169FF" w:rsidRPr="0071683D">
        <w:rPr>
          <w:bCs/>
          <w:szCs w:val="24"/>
          <w:lang w:val="lv-LV"/>
        </w:rPr>
        <w:t>.</w:t>
      </w:r>
      <w:r w:rsidR="0056366D" w:rsidRPr="0071683D">
        <w:rPr>
          <w:bCs/>
          <w:szCs w:val="24"/>
          <w:lang w:val="lv-LV"/>
        </w:rPr>
        <w:t>oktobra</w:t>
      </w:r>
      <w:r w:rsidR="003169FF" w:rsidRPr="0071683D">
        <w:rPr>
          <w:bCs/>
          <w:szCs w:val="24"/>
          <w:lang w:val="lv-LV"/>
        </w:rPr>
        <w:t xml:space="preserve"> lēmumu Nr.</w:t>
      </w:r>
      <w:r w:rsidR="0056366D" w:rsidRPr="0071683D">
        <w:rPr>
          <w:bCs/>
          <w:szCs w:val="24"/>
          <w:lang w:val="lv-LV"/>
        </w:rPr>
        <w:t>447</w:t>
      </w:r>
      <w:r w:rsidR="001265F8" w:rsidRPr="0071683D">
        <w:rPr>
          <w:bCs/>
          <w:szCs w:val="24"/>
          <w:lang w:val="lv-LV"/>
        </w:rPr>
        <w:t xml:space="preserve"> </w:t>
      </w:r>
      <w:r w:rsidR="003169FF" w:rsidRPr="0071683D">
        <w:rPr>
          <w:bCs/>
          <w:szCs w:val="24"/>
          <w:lang w:val="lv-LV"/>
        </w:rPr>
        <w:t xml:space="preserve">„Par </w:t>
      </w:r>
      <w:r w:rsidR="0056366D" w:rsidRPr="0071683D">
        <w:rPr>
          <w:bCs/>
          <w:szCs w:val="24"/>
          <w:lang w:val="lv-LV"/>
        </w:rPr>
        <w:t>Latgales Centrālā</w:t>
      </w:r>
      <w:r w:rsidR="00C457DF" w:rsidRPr="0071683D">
        <w:rPr>
          <w:bCs/>
          <w:szCs w:val="24"/>
          <w:lang w:val="lv-LV"/>
        </w:rPr>
        <w:t>s</w:t>
      </w:r>
      <w:r w:rsidR="0056366D" w:rsidRPr="0071683D">
        <w:rPr>
          <w:bCs/>
          <w:szCs w:val="24"/>
          <w:lang w:val="lv-LV"/>
        </w:rPr>
        <w:t xml:space="preserve"> bibliotēka</w:t>
      </w:r>
      <w:r w:rsidR="00C457DF" w:rsidRPr="0071683D">
        <w:rPr>
          <w:bCs/>
          <w:szCs w:val="24"/>
          <w:lang w:val="lv-LV"/>
        </w:rPr>
        <w:t>s un tās filiāļu</w:t>
      </w:r>
      <w:r w:rsidR="003169FF" w:rsidRPr="0071683D">
        <w:rPr>
          <w:bCs/>
          <w:szCs w:val="24"/>
          <w:lang w:val="lv-LV"/>
        </w:rPr>
        <w:t xml:space="preserve"> </w:t>
      </w:r>
      <w:r w:rsidR="0056366D" w:rsidRPr="0071683D">
        <w:rPr>
          <w:bCs/>
          <w:szCs w:val="24"/>
          <w:lang w:val="lv-LV"/>
        </w:rPr>
        <w:t xml:space="preserve">sniegto </w:t>
      </w:r>
      <w:r w:rsidR="003169FF" w:rsidRPr="0071683D">
        <w:rPr>
          <w:bCs/>
          <w:szCs w:val="24"/>
          <w:lang w:val="lv-LV"/>
        </w:rPr>
        <w:t>maksas pakalpojumu cen</w:t>
      </w:r>
      <w:r w:rsidR="00C457DF" w:rsidRPr="0071683D">
        <w:rPr>
          <w:bCs/>
          <w:szCs w:val="24"/>
          <w:lang w:val="lv-LV"/>
        </w:rPr>
        <w:t>u</w:t>
      </w:r>
      <w:r w:rsidR="003169FF" w:rsidRPr="0071683D">
        <w:rPr>
          <w:bCs/>
          <w:szCs w:val="24"/>
          <w:lang w:val="lv-LV"/>
        </w:rPr>
        <w:t xml:space="preserve"> apstiprināšanu”.</w:t>
      </w:r>
    </w:p>
    <w:p w:rsidR="00EE7AF7" w:rsidRDefault="00EE7AF7" w:rsidP="0071683D">
      <w:pPr>
        <w:spacing w:after="0" w:line="240" w:lineRule="auto"/>
        <w:ind w:firstLine="567"/>
        <w:jc w:val="both"/>
        <w:rPr>
          <w:bCs/>
          <w:szCs w:val="24"/>
          <w:lang w:val="lv-LV"/>
        </w:rPr>
      </w:pPr>
    </w:p>
    <w:p w:rsidR="003169FF" w:rsidRPr="0071683D" w:rsidRDefault="003956EE" w:rsidP="0071683D">
      <w:pPr>
        <w:spacing w:after="0" w:line="240" w:lineRule="auto"/>
        <w:ind w:firstLine="567"/>
        <w:jc w:val="both"/>
        <w:rPr>
          <w:szCs w:val="24"/>
          <w:lang w:val="lv-LV"/>
        </w:rPr>
      </w:pPr>
      <w:r w:rsidRPr="0071683D">
        <w:rPr>
          <w:bCs/>
          <w:szCs w:val="24"/>
          <w:lang w:val="lv-LV"/>
        </w:rPr>
        <w:t>5</w:t>
      </w:r>
      <w:r w:rsidR="0056366D" w:rsidRPr="0071683D">
        <w:rPr>
          <w:bCs/>
          <w:szCs w:val="24"/>
          <w:lang w:val="lv-LV"/>
        </w:rPr>
        <w:t>. Atzīt par spēku zaudējušu Daugavpils pilsētas domes 2013.gada 24.oktobra lēmumu Nr.448</w:t>
      </w:r>
      <w:r w:rsidR="001265F8" w:rsidRPr="0071683D">
        <w:rPr>
          <w:bCs/>
          <w:szCs w:val="24"/>
          <w:lang w:val="lv-LV"/>
        </w:rPr>
        <w:t xml:space="preserve"> </w:t>
      </w:r>
      <w:r w:rsidR="0056366D" w:rsidRPr="0071683D">
        <w:rPr>
          <w:bCs/>
          <w:szCs w:val="24"/>
          <w:lang w:val="lv-LV"/>
        </w:rPr>
        <w:t>„Par Latgales Centrālā</w:t>
      </w:r>
      <w:r w:rsidR="00C457DF" w:rsidRPr="0071683D">
        <w:rPr>
          <w:bCs/>
          <w:szCs w:val="24"/>
          <w:lang w:val="lv-LV"/>
        </w:rPr>
        <w:t>s</w:t>
      </w:r>
      <w:r w:rsidR="0056366D" w:rsidRPr="0071683D">
        <w:rPr>
          <w:bCs/>
          <w:szCs w:val="24"/>
          <w:lang w:val="lv-LV"/>
        </w:rPr>
        <w:t xml:space="preserve"> bibliotēka</w:t>
      </w:r>
      <w:r w:rsidR="00C457DF" w:rsidRPr="0071683D">
        <w:rPr>
          <w:bCs/>
          <w:szCs w:val="24"/>
          <w:lang w:val="lv-LV"/>
        </w:rPr>
        <w:t>s</w:t>
      </w:r>
      <w:r w:rsidR="0056366D" w:rsidRPr="0071683D">
        <w:rPr>
          <w:bCs/>
          <w:szCs w:val="24"/>
          <w:lang w:val="lv-LV"/>
        </w:rPr>
        <w:t xml:space="preserve"> nomas maksas cenrādi”.</w:t>
      </w:r>
    </w:p>
    <w:p w:rsidR="003169FF" w:rsidRPr="0071683D" w:rsidRDefault="003169FF" w:rsidP="0071683D">
      <w:pPr>
        <w:spacing w:after="0" w:line="240" w:lineRule="auto"/>
        <w:jc w:val="both"/>
        <w:rPr>
          <w:szCs w:val="24"/>
          <w:lang w:val="lv-LV"/>
        </w:rPr>
      </w:pPr>
    </w:p>
    <w:p w:rsidR="003169FF" w:rsidRPr="0071683D" w:rsidRDefault="003169FF" w:rsidP="0071683D">
      <w:pPr>
        <w:spacing w:after="0" w:line="240" w:lineRule="auto"/>
        <w:jc w:val="both"/>
        <w:rPr>
          <w:szCs w:val="24"/>
          <w:lang w:val="lv-LV"/>
        </w:rPr>
      </w:pPr>
    </w:p>
    <w:p w:rsidR="003169FF" w:rsidRPr="0071683D" w:rsidRDefault="0071683D" w:rsidP="00230A69">
      <w:pPr>
        <w:pStyle w:val="Heading3"/>
        <w:spacing w:before="0" w:after="0" w:line="240" w:lineRule="auto"/>
        <w:jc w:val="both"/>
        <w:rPr>
          <w:szCs w:val="24"/>
          <w:lang w:val="lv-LV"/>
        </w:rPr>
      </w:pPr>
      <w:r>
        <w:rPr>
          <w:rFonts w:ascii="Times New Roman" w:hAnsi="Times New Roman"/>
          <w:b w:val="0"/>
          <w:sz w:val="24"/>
          <w:szCs w:val="24"/>
          <w:lang w:val="lv-LV"/>
        </w:rPr>
        <w:t>D</w:t>
      </w:r>
      <w:r w:rsidR="003169FF" w:rsidRPr="0071683D">
        <w:rPr>
          <w:rFonts w:ascii="Times New Roman" w:hAnsi="Times New Roman"/>
          <w:b w:val="0"/>
          <w:sz w:val="24"/>
          <w:szCs w:val="24"/>
          <w:lang w:val="lv-LV"/>
        </w:rPr>
        <w:t>omes priekšsēdētājs</w:t>
      </w:r>
      <w:r w:rsidR="003169FF" w:rsidRPr="0071683D">
        <w:rPr>
          <w:rFonts w:ascii="Times New Roman" w:hAnsi="Times New Roman"/>
          <w:b w:val="0"/>
          <w:sz w:val="24"/>
          <w:szCs w:val="24"/>
          <w:lang w:val="lv-LV"/>
        </w:rPr>
        <w:tab/>
      </w:r>
      <w:r w:rsidR="003169FF" w:rsidRPr="0071683D">
        <w:rPr>
          <w:rFonts w:ascii="Times New Roman" w:hAnsi="Times New Roman"/>
          <w:b w:val="0"/>
          <w:sz w:val="24"/>
          <w:szCs w:val="24"/>
          <w:lang w:val="lv-LV"/>
        </w:rPr>
        <w:tab/>
      </w:r>
      <w:r w:rsidR="00230A69" w:rsidRPr="00230A69">
        <w:rPr>
          <w:rFonts w:ascii="Times New Roman" w:hAnsi="Times New Roman"/>
          <w:b w:val="0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/>
          <w:b w:val="0"/>
          <w:sz w:val="24"/>
          <w:szCs w:val="24"/>
          <w:lang w:val="lv-LV"/>
        </w:rPr>
        <w:t xml:space="preserve">                                       </w:t>
      </w:r>
      <w:proofErr w:type="spellStart"/>
      <w:r w:rsidR="003169FF" w:rsidRPr="0071683D">
        <w:rPr>
          <w:rFonts w:ascii="Times New Roman" w:hAnsi="Times New Roman"/>
          <w:b w:val="0"/>
          <w:sz w:val="24"/>
          <w:szCs w:val="24"/>
          <w:lang w:val="lv-LV"/>
        </w:rPr>
        <w:t>A</w:t>
      </w:r>
      <w:r w:rsidR="001265F8" w:rsidRPr="0071683D">
        <w:rPr>
          <w:rFonts w:ascii="Times New Roman" w:hAnsi="Times New Roman"/>
          <w:b w:val="0"/>
          <w:sz w:val="24"/>
          <w:szCs w:val="24"/>
          <w:lang w:val="lv-LV"/>
        </w:rPr>
        <w:t>.</w:t>
      </w:r>
      <w:r w:rsidR="003169FF" w:rsidRPr="0071683D">
        <w:rPr>
          <w:rFonts w:ascii="Times New Roman" w:hAnsi="Times New Roman"/>
          <w:b w:val="0"/>
          <w:sz w:val="24"/>
          <w:szCs w:val="24"/>
          <w:lang w:val="lv-LV"/>
        </w:rPr>
        <w:t>Elksniņš</w:t>
      </w:r>
      <w:bookmarkStart w:id="2" w:name="_GoBack"/>
      <w:bookmarkEnd w:id="2"/>
      <w:proofErr w:type="spellEnd"/>
    </w:p>
    <w:p w:rsidR="002323FD" w:rsidRPr="0071683D" w:rsidRDefault="003169FF" w:rsidP="0071683D">
      <w:pPr>
        <w:spacing w:after="0" w:line="240" w:lineRule="auto"/>
        <w:jc w:val="both"/>
        <w:rPr>
          <w:szCs w:val="24"/>
          <w:lang w:val="lv-LV"/>
        </w:rPr>
      </w:pPr>
      <w:r w:rsidRPr="0071683D">
        <w:rPr>
          <w:szCs w:val="24"/>
          <w:lang w:val="lv-LV"/>
        </w:rPr>
        <w:tab/>
      </w:r>
      <w:r w:rsidRPr="0071683D">
        <w:rPr>
          <w:szCs w:val="24"/>
          <w:lang w:val="lv-LV"/>
        </w:rPr>
        <w:tab/>
      </w:r>
      <w:r w:rsidR="003956EE" w:rsidRPr="0071683D">
        <w:rPr>
          <w:szCs w:val="24"/>
          <w:lang w:val="lv-LV"/>
        </w:rPr>
        <w:tab/>
      </w:r>
    </w:p>
    <w:sectPr w:rsidR="002323FD" w:rsidRPr="0071683D" w:rsidSect="00230A69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69" w:rsidRDefault="00230A69" w:rsidP="00230A69">
      <w:pPr>
        <w:spacing w:after="0" w:line="240" w:lineRule="auto"/>
      </w:pPr>
      <w:r>
        <w:separator/>
      </w:r>
    </w:p>
  </w:endnote>
  <w:endnote w:type="continuationSeparator" w:id="0">
    <w:p w:rsidR="00230A69" w:rsidRDefault="00230A69" w:rsidP="0023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69" w:rsidRDefault="00230A69" w:rsidP="00230A69">
      <w:pPr>
        <w:spacing w:after="0" w:line="240" w:lineRule="auto"/>
      </w:pPr>
      <w:r>
        <w:separator/>
      </w:r>
    </w:p>
  </w:footnote>
  <w:footnote w:type="continuationSeparator" w:id="0">
    <w:p w:rsidR="00230A69" w:rsidRDefault="00230A69" w:rsidP="0023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9104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0A69" w:rsidRDefault="00230A6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0A69" w:rsidRDefault="00230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FF"/>
    <w:rsid w:val="00002FEB"/>
    <w:rsid w:val="0001031A"/>
    <w:rsid w:val="00087E16"/>
    <w:rsid w:val="000C1090"/>
    <w:rsid w:val="00123B36"/>
    <w:rsid w:val="001265F8"/>
    <w:rsid w:val="001429B1"/>
    <w:rsid w:val="001A0D20"/>
    <w:rsid w:val="001A6F74"/>
    <w:rsid w:val="00230A69"/>
    <w:rsid w:val="002323FD"/>
    <w:rsid w:val="002E0058"/>
    <w:rsid w:val="002E4B80"/>
    <w:rsid w:val="003169FF"/>
    <w:rsid w:val="00365681"/>
    <w:rsid w:val="003956EE"/>
    <w:rsid w:val="00415E27"/>
    <w:rsid w:val="00447A2F"/>
    <w:rsid w:val="004A4F1F"/>
    <w:rsid w:val="004B653B"/>
    <w:rsid w:val="004E0C34"/>
    <w:rsid w:val="0056366D"/>
    <w:rsid w:val="0058021D"/>
    <w:rsid w:val="005C3156"/>
    <w:rsid w:val="006130E4"/>
    <w:rsid w:val="006135D7"/>
    <w:rsid w:val="006558AB"/>
    <w:rsid w:val="00676890"/>
    <w:rsid w:val="00700634"/>
    <w:rsid w:val="0071683D"/>
    <w:rsid w:val="007F0E11"/>
    <w:rsid w:val="00804159"/>
    <w:rsid w:val="00822D8C"/>
    <w:rsid w:val="008C6EA5"/>
    <w:rsid w:val="009B061D"/>
    <w:rsid w:val="00A364DC"/>
    <w:rsid w:val="00A504FE"/>
    <w:rsid w:val="00AC5933"/>
    <w:rsid w:val="00B54267"/>
    <w:rsid w:val="00B80796"/>
    <w:rsid w:val="00C446FA"/>
    <w:rsid w:val="00C457DF"/>
    <w:rsid w:val="00CA0982"/>
    <w:rsid w:val="00CA1ADB"/>
    <w:rsid w:val="00D77F07"/>
    <w:rsid w:val="00DA2CC4"/>
    <w:rsid w:val="00E45BD1"/>
    <w:rsid w:val="00EE1CEF"/>
    <w:rsid w:val="00EE7AF7"/>
    <w:rsid w:val="00F20A57"/>
    <w:rsid w:val="00F247FB"/>
    <w:rsid w:val="00F4438E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432E9C4-1AA1-4F98-A4CA-D40961E3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FF"/>
    <w:rPr>
      <w:rFonts w:ascii="Times New Roman" w:eastAsia="Calibri" w:hAnsi="Times New Roman" w:cs="Times New Roman"/>
      <w:sz w:val="24"/>
      <w:szCs w:val="28"/>
      <w:lang w:val="ru-RU"/>
    </w:rPr>
  </w:style>
  <w:style w:type="paragraph" w:styleId="Heading1">
    <w:name w:val="heading 1"/>
    <w:basedOn w:val="Normal"/>
    <w:next w:val="Normal"/>
    <w:link w:val="Heading1Char"/>
    <w:qFormat/>
    <w:rsid w:val="003169FF"/>
    <w:pPr>
      <w:keepNext/>
      <w:spacing w:after="0" w:line="360" w:lineRule="auto"/>
      <w:jc w:val="both"/>
      <w:outlineLvl w:val="0"/>
    </w:pPr>
    <w:rPr>
      <w:b/>
      <w:lang w:val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9F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9FF"/>
    <w:rPr>
      <w:rFonts w:ascii="Times New Roman" w:eastAsia="Calibri" w:hAnsi="Times New Roman" w:cs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69FF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customStyle="1" w:styleId="a">
    <w:name w:val="Абзац списка"/>
    <w:basedOn w:val="Normal"/>
    <w:qFormat/>
    <w:rsid w:val="003169F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3169FF"/>
    <w:pPr>
      <w:spacing w:after="0" w:line="360" w:lineRule="auto"/>
      <w:ind w:firstLine="709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169FF"/>
    <w:rPr>
      <w:rFonts w:ascii="Times New Roman" w:eastAsia="Calibri" w:hAnsi="Times New Roman" w:cs="Times New Roman"/>
      <w:sz w:val="2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169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69FF"/>
    <w:rPr>
      <w:rFonts w:ascii="Times New Roman" w:eastAsia="Calibri" w:hAnsi="Times New Roman" w:cs="Times New Roman"/>
      <w:sz w:val="24"/>
      <w:szCs w:val="28"/>
      <w:lang w:val="ru-RU"/>
    </w:rPr>
  </w:style>
  <w:style w:type="paragraph" w:customStyle="1" w:styleId="tv2132">
    <w:name w:val="tv2132"/>
    <w:basedOn w:val="Normal"/>
    <w:rsid w:val="003169FF"/>
    <w:pPr>
      <w:spacing w:after="0" w:line="360" w:lineRule="auto"/>
      <w:ind w:firstLine="300"/>
    </w:pPr>
    <w:rPr>
      <w:rFonts w:eastAsia="Times New Roman"/>
      <w:color w:val="414142"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B1"/>
    <w:rPr>
      <w:rFonts w:ascii="Segoe UI" w:eastAsia="Calibri" w:hAnsi="Segoe UI" w:cs="Segoe UI"/>
      <w:sz w:val="18"/>
      <w:szCs w:val="18"/>
      <w:lang w:val="ru-RU"/>
    </w:rPr>
  </w:style>
  <w:style w:type="table" w:styleId="TableGrid">
    <w:name w:val="Table Grid"/>
    <w:basedOn w:val="TableNormal"/>
    <w:uiPriority w:val="59"/>
    <w:rsid w:val="0061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30A69"/>
    <w:pPr>
      <w:spacing w:after="0" w:line="240" w:lineRule="auto"/>
      <w:jc w:val="center"/>
    </w:pPr>
    <w:rPr>
      <w:rFonts w:eastAsia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30A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230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69"/>
    <w:rPr>
      <w:rFonts w:ascii="Times New Roman" w:eastAsia="Calibri" w:hAnsi="Times New Roman" w:cs="Times New Roman"/>
      <w:sz w:val="24"/>
      <w:szCs w:val="28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230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69"/>
    <w:rPr>
      <w:rFonts w:ascii="Times New Roman" w:eastAsia="Calibri" w:hAnsi="Times New Roman" w:cs="Times New Roman"/>
      <w:sz w:val="24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3031</Words>
  <Characters>1728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Zolotuhina</dc:creator>
  <cp:lastModifiedBy>Ina Skipare</cp:lastModifiedBy>
  <cp:revision>5</cp:revision>
  <cp:lastPrinted>2019-09-26T12:25:00Z</cp:lastPrinted>
  <dcterms:created xsi:type="dcterms:W3CDTF">2019-09-20T07:12:00Z</dcterms:created>
  <dcterms:modified xsi:type="dcterms:W3CDTF">2019-10-02T07:00:00Z</dcterms:modified>
</cp:coreProperties>
</file>