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882" w:rsidRDefault="00574882"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27798908" r:id="rId8"/>
        </w:object>
      </w:r>
    </w:p>
    <w:p w:rsidR="00574882" w:rsidRPr="00EE4591" w:rsidRDefault="00574882" w:rsidP="00402A27">
      <w:pPr>
        <w:pStyle w:val="Title"/>
        <w:tabs>
          <w:tab w:val="left" w:pos="3969"/>
          <w:tab w:val="left" w:pos="4395"/>
        </w:tabs>
        <w:rPr>
          <w:b w:val="0"/>
          <w:bCs/>
          <w:sz w:val="24"/>
          <w:szCs w:val="24"/>
        </w:rPr>
      </w:pPr>
    </w:p>
    <w:p w:rsidR="00574882" w:rsidRDefault="00574882" w:rsidP="00402A27">
      <w:pPr>
        <w:pStyle w:val="Title"/>
        <w:tabs>
          <w:tab w:val="left" w:pos="3969"/>
          <w:tab w:val="left" w:pos="4395"/>
        </w:tabs>
        <w:rPr>
          <w:b w:val="0"/>
          <w:bCs/>
        </w:rPr>
      </w:pPr>
      <w:r>
        <w:rPr>
          <w:b w:val="0"/>
          <w:bCs/>
        </w:rPr>
        <w:t xml:space="preserve">  LATVIJAS REPUBLIKAS</w:t>
      </w:r>
    </w:p>
    <w:p w:rsidR="00574882" w:rsidRDefault="00574882" w:rsidP="00402A27">
      <w:pPr>
        <w:pStyle w:val="Title"/>
        <w:tabs>
          <w:tab w:val="left" w:pos="3969"/>
          <w:tab w:val="left" w:pos="4395"/>
        </w:tabs>
      </w:pPr>
      <w:r>
        <w:t>DAUGAVPILS PILSĒTAS DOME</w:t>
      </w:r>
    </w:p>
    <w:p w:rsidR="00574882" w:rsidRPr="00C3756E" w:rsidRDefault="00574882" w:rsidP="00402A27">
      <w:pPr>
        <w:spacing w:after="0" w:line="240" w:lineRule="auto"/>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574882" w:rsidRDefault="00574882" w:rsidP="00402A27">
      <w:pPr>
        <w:spacing w:after="0" w:line="240" w:lineRule="auto"/>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574882" w:rsidRDefault="00574882" w:rsidP="00402A27">
      <w:pPr>
        <w:spacing w:after="0" w:line="240" w:lineRule="auto"/>
        <w:jc w:val="center"/>
        <w:rPr>
          <w:sz w:val="18"/>
          <w:szCs w:val="18"/>
          <w:u w:val="single"/>
        </w:rPr>
      </w:pPr>
    </w:p>
    <w:p w:rsidR="00574882" w:rsidRDefault="00574882" w:rsidP="00402A27">
      <w:pPr>
        <w:spacing w:after="0" w:line="240" w:lineRule="auto"/>
        <w:jc w:val="center"/>
        <w:rPr>
          <w:b/>
          <w:szCs w:val="24"/>
        </w:rPr>
      </w:pPr>
    </w:p>
    <w:p w:rsidR="00574882" w:rsidRPr="002E7F44" w:rsidRDefault="00574882" w:rsidP="00402A27">
      <w:pPr>
        <w:spacing w:after="0" w:line="240" w:lineRule="auto"/>
        <w:jc w:val="center"/>
        <w:rPr>
          <w:b/>
          <w:szCs w:val="24"/>
        </w:rPr>
      </w:pPr>
      <w:r w:rsidRPr="002E7F44">
        <w:rPr>
          <w:b/>
          <w:szCs w:val="24"/>
        </w:rPr>
        <w:t>LĒMUMS</w:t>
      </w:r>
    </w:p>
    <w:p w:rsidR="00574882" w:rsidRPr="002E7F44" w:rsidRDefault="00574882" w:rsidP="002E7F44">
      <w:pPr>
        <w:spacing w:after="120"/>
        <w:jc w:val="center"/>
        <w:rPr>
          <w:sz w:val="2"/>
          <w:szCs w:val="2"/>
        </w:rPr>
      </w:pPr>
    </w:p>
    <w:p w:rsidR="00574882" w:rsidRDefault="00574882" w:rsidP="002E7F44">
      <w:pPr>
        <w:jc w:val="center"/>
        <w:rPr>
          <w:szCs w:val="24"/>
        </w:rPr>
      </w:pPr>
      <w:r>
        <w:rPr>
          <w:szCs w:val="24"/>
        </w:rPr>
        <w:t>Daugavpi</w:t>
      </w:r>
      <w:r w:rsidRPr="002E7F44">
        <w:rPr>
          <w:szCs w:val="24"/>
        </w:rPr>
        <w:t>lī</w:t>
      </w:r>
    </w:p>
    <w:p w:rsidR="005D4651" w:rsidRDefault="005D4651" w:rsidP="0079065A">
      <w:pPr>
        <w:spacing w:after="0" w:line="240" w:lineRule="auto"/>
        <w:jc w:val="both"/>
        <w:rPr>
          <w:szCs w:val="24"/>
          <w:lang w:val="lv-LV"/>
        </w:rPr>
      </w:pPr>
    </w:p>
    <w:p w:rsidR="0079065A" w:rsidRPr="0079065A" w:rsidRDefault="0079065A" w:rsidP="0079065A">
      <w:pPr>
        <w:spacing w:after="0" w:line="240" w:lineRule="auto"/>
        <w:jc w:val="both"/>
        <w:rPr>
          <w:szCs w:val="24"/>
          <w:lang w:val="lv-LV"/>
        </w:rPr>
      </w:pPr>
      <w:r w:rsidRPr="0079065A">
        <w:rPr>
          <w:szCs w:val="24"/>
          <w:lang w:val="lv-LV"/>
        </w:rPr>
        <w:t>2019.gada 15.augustā</w:t>
      </w:r>
      <w:r w:rsidR="003169FF" w:rsidRPr="0079065A">
        <w:rPr>
          <w:szCs w:val="24"/>
          <w:lang w:val="lv-LV"/>
        </w:rPr>
        <w:t xml:space="preserve">  </w:t>
      </w:r>
      <w:r w:rsidR="003169FF" w:rsidRPr="0079065A">
        <w:rPr>
          <w:szCs w:val="24"/>
          <w:lang w:val="lv-LV"/>
        </w:rPr>
        <w:tab/>
      </w:r>
      <w:r w:rsidR="003169FF" w:rsidRPr="0079065A">
        <w:rPr>
          <w:szCs w:val="24"/>
          <w:lang w:val="lv-LV"/>
        </w:rPr>
        <w:tab/>
      </w:r>
      <w:r w:rsidR="003169FF" w:rsidRPr="0079065A">
        <w:rPr>
          <w:szCs w:val="24"/>
          <w:lang w:val="lv-LV"/>
        </w:rPr>
        <w:tab/>
      </w:r>
      <w:r w:rsidR="003169FF" w:rsidRPr="0079065A">
        <w:rPr>
          <w:szCs w:val="24"/>
          <w:lang w:val="lv-LV"/>
        </w:rPr>
        <w:tab/>
      </w:r>
      <w:r w:rsidR="003169FF" w:rsidRPr="0079065A">
        <w:rPr>
          <w:szCs w:val="24"/>
          <w:lang w:val="lv-LV"/>
        </w:rPr>
        <w:tab/>
      </w:r>
      <w:r w:rsidR="003169FF" w:rsidRPr="0079065A">
        <w:rPr>
          <w:szCs w:val="24"/>
          <w:lang w:val="lv-LV"/>
        </w:rPr>
        <w:tab/>
      </w:r>
      <w:r w:rsidR="005D4651">
        <w:rPr>
          <w:szCs w:val="24"/>
          <w:lang w:val="lv-LV"/>
        </w:rPr>
        <w:t xml:space="preserve">      </w:t>
      </w:r>
      <w:r w:rsidR="005D4651">
        <w:rPr>
          <w:b/>
          <w:szCs w:val="24"/>
          <w:lang w:val="lv-LV"/>
        </w:rPr>
        <w:t>Nr.494</w:t>
      </w:r>
      <w:r w:rsidRPr="0079065A">
        <w:rPr>
          <w:szCs w:val="24"/>
          <w:lang w:val="lv-LV"/>
        </w:rPr>
        <w:t xml:space="preserve">   </w:t>
      </w:r>
    </w:p>
    <w:p w:rsidR="003169FF" w:rsidRPr="0079065A" w:rsidRDefault="0079065A" w:rsidP="0079065A">
      <w:pPr>
        <w:pStyle w:val="BodyText"/>
        <w:spacing w:after="0" w:line="240" w:lineRule="auto"/>
        <w:jc w:val="both"/>
        <w:rPr>
          <w:color w:val="FF0000"/>
          <w:szCs w:val="24"/>
          <w:lang w:val="lv-LV"/>
        </w:rPr>
      </w:pPr>
      <w:r w:rsidRPr="0079065A">
        <w:rPr>
          <w:szCs w:val="24"/>
          <w:lang w:val="lv-LV"/>
        </w:rPr>
        <w:t xml:space="preserve">                                                                                                            </w:t>
      </w:r>
      <w:r w:rsidR="005D4651">
        <w:rPr>
          <w:szCs w:val="24"/>
          <w:lang w:val="lv-LV"/>
        </w:rPr>
        <w:t xml:space="preserve">      </w:t>
      </w:r>
      <w:r w:rsidRPr="0079065A">
        <w:rPr>
          <w:szCs w:val="24"/>
          <w:lang w:val="lv-LV"/>
        </w:rPr>
        <w:t>(prot. Nr.2</w:t>
      </w:r>
      <w:r w:rsidR="00B9205C">
        <w:rPr>
          <w:szCs w:val="24"/>
          <w:lang w:val="lv-LV"/>
        </w:rPr>
        <w:t>9</w:t>
      </w:r>
      <w:bookmarkStart w:id="2" w:name="_GoBack"/>
      <w:bookmarkEnd w:id="2"/>
      <w:r w:rsidR="005D4651">
        <w:rPr>
          <w:szCs w:val="24"/>
          <w:lang w:val="lv-LV"/>
        </w:rPr>
        <w:t>, 10</w:t>
      </w:r>
      <w:r w:rsidRPr="0079065A">
        <w:rPr>
          <w:szCs w:val="24"/>
          <w:lang w:val="lv-LV"/>
        </w:rPr>
        <w:t>.§)</w:t>
      </w:r>
    </w:p>
    <w:p w:rsidR="003169FF" w:rsidRPr="0079065A" w:rsidRDefault="003169FF" w:rsidP="0079065A">
      <w:pPr>
        <w:pStyle w:val="Heading1"/>
        <w:spacing w:line="240" w:lineRule="auto"/>
        <w:rPr>
          <w:szCs w:val="24"/>
        </w:rPr>
      </w:pPr>
    </w:p>
    <w:p w:rsidR="005D4651" w:rsidRDefault="003169FF" w:rsidP="005D4651">
      <w:pPr>
        <w:spacing w:after="0" w:line="240" w:lineRule="auto"/>
        <w:jc w:val="center"/>
        <w:rPr>
          <w:b/>
          <w:szCs w:val="24"/>
          <w:lang w:val="lv-LV"/>
        </w:rPr>
      </w:pPr>
      <w:r w:rsidRPr="0079065A">
        <w:rPr>
          <w:b/>
          <w:szCs w:val="24"/>
          <w:lang w:val="lv-LV"/>
        </w:rPr>
        <w:t xml:space="preserve">Par Daugavpils pilsētas </w:t>
      </w:r>
      <w:r w:rsidR="006135D7" w:rsidRPr="0079065A">
        <w:rPr>
          <w:b/>
          <w:szCs w:val="24"/>
          <w:lang w:val="lv-LV"/>
        </w:rPr>
        <w:t>domes budžeta</w:t>
      </w:r>
      <w:r w:rsidRPr="0079065A">
        <w:rPr>
          <w:b/>
          <w:szCs w:val="24"/>
          <w:lang w:val="lv-LV"/>
        </w:rPr>
        <w:t xml:space="preserve"> iestādes „Kultūras pils”</w:t>
      </w:r>
    </w:p>
    <w:p w:rsidR="003169FF" w:rsidRPr="0079065A" w:rsidRDefault="003169FF" w:rsidP="005D4651">
      <w:pPr>
        <w:spacing w:after="0" w:line="240" w:lineRule="auto"/>
        <w:jc w:val="center"/>
        <w:rPr>
          <w:b/>
          <w:szCs w:val="24"/>
          <w:lang w:val="lv-LV"/>
        </w:rPr>
      </w:pPr>
      <w:r w:rsidRPr="0079065A">
        <w:rPr>
          <w:b/>
          <w:szCs w:val="24"/>
          <w:lang w:val="lv-LV"/>
        </w:rPr>
        <w:t xml:space="preserve"> </w:t>
      </w:r>
      <w:r w:rsidR="001429B1" w:rsidRPr="0079065A">
        <w:rPr>
          <w:b/>
          <w:szCs w:val="24"/>
          <w:lang w:val="lv-LV"/>
        </w:rPr>
        <w:t>maksas pakalpojumu cenrādi</w:t>
      </w:r>
    </w:p>
    <w:p w:rsidR="003169FF" w:rsidRPr="0079065A" w:rsidRDefault="003169FF" w:rsidP="0079065A">
      <w:pPr>
        <w:pStyle w:val="Heading1"/>
        <w:spacing w:line="240" w:lineRule="auto"/>
        <w:rPr>
          <w:b w:val="0"/>
          <w:szCs w:val="24"/>
        </w:rPr>
      </w:pPr>
    </w:p>
    <w:p w:rsidR="003169FF" w:rsidRPr="00763EE0" w:rsidRDefault="003169FF" w:rsidP="0079065A">
      <w:pPr>
        <w:spacing w:after="0" w:line="240" w:lineRule="auto"/>
        <w:ind w:firstLine="567"/>
        <w:jc w:val="both"/>
        <w:rPr>
          <w:szCs w:val="24"/>
          <w:lang w:val="lv-LV"/>
        </w:rPr>
      </w:pPr>
      <w:r w:rsidRPr="0079065A">
        <w:rPr>
          <w:szCs w:val="24"/>
          <w:lang w:val="lv-LV"/>
        </w:rPr>
        <w:t xml:space="preserve">Pamatojoties uz likuma “Par pašvaldībām“ 21.panta pirmās daļas 14.punkta                                a), b) un g) apakšpunktu,  Ministru kabineta 2018.gada 20.februāra noteikumu Nr. 97 “Publiskas personas mantas iznomāšanas noteikumi” 4.1.apakšpunktu un 5.punktu, Daugavpils pilsētas domes 2013.gada 28.februāra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2019.gada </w:t>
      </w:r>
      <w:r w:rsidR="0079065A">
        <w:rPr>
          <w:szCs w:val="24"/>
          <w:lang w:val="lv-LV"/>
        </w:rPr>
        <w:t>8.augusta atzinumu</w:t>
      </w:r>
      <w:r w:rsidRPr="0079065A">
        <w:rPr>
          <w:szCs w:val="24"/>
          <w:lang w:val="lv-LV"/>
        </w:rPr>
        <w:t xml:space="preserve">, Daugavpils pilsētas domes Finanšu komitejas 2019.gada </w:t>
      </w:r>
      <w:r w:rsidR="0079065A">
        <w:rPr>
          <w:szCs w:val="24"/>
          <w:lang w:val="lv-LV"/>
        </w:rPr>
        <w:t>8.augusta atzinumu</w:t>
      </w:r>
      <w:r w:rsidR="0079065A" w:rsidRPr="00763EE0">
        <w:rPr>
          <w:szCs w:val="24"/>
          <w:lang w:val="lv-LV"/>
        </w:rPr>
        <w:t xml:space="preserve">, </w:t>
      </w:r>
      <w:r w:rsidR="00763EE0" w:rsidRPr="00763EE0">
        <w:rPr>
          <w:szCs w:val="24"/>
          <w:lang w:val="lv-LV"/>
        </w:rPr>
        <w:t xml:space="preserve">atklāti balsojot: PAR – 15 (A.Broks, J.Dukšinskis, R.Eigims, A.Elksniņš, A.Gržibovskis, L.Jankovska, R.Joksts, I.Kokina, V.Kononovs, N.Kožanova, M.Lavrenovs, J.Lāčplēsis, I.Prelatovs, H.Soldatjonoka, A.Zdanovskis), PRET – nav, ATTURAS – nav, </w:t>
      </w:r>
      <w:r w:rsidR="0079065A" w:rsidRPr="00763EE0">
        <w:rPr>
          <w:szCs w:val="24"/>
          <w:lang w:val="lv-LV"/>
        </w:rPr>
        <w:t xml:space="preserve"> </w:t>
      </w:r>
      <w:r w:rsidRPr="00763EE0">
        <w:rPr>
          <w:b/>
          <w:szCs w:val="24"/>
          <w:lang w:val="lv-LV"/>
        </w:rPr>
        <w:t>Daugavpils pilsētas dome nolemj:</w:t>
      </w:r>
    </w:p>
    <w:p w:rsidR="003169FF" w:rsidRPr="00763EE0" w:rsidRDefault="003169FF" w:rsidP="0079065A">
      <w:pPr>
        <w:pStyle w:val="BodyTextIndent2"/>
        <w:spacing w:line="240" w:lineRule="auto"/>
        <w:ind w:firstLine="567"/>
        <w:jc w:val="both"/>
        <w:rPr>
          <w:szCs w:val="24"/>
        </w:rPr>
      </w:pPr>
    </w:p>
    <w:p w:rsidR="003169FF" w:rsidRDefault="003169FF" w:rsidP="005D4651">
      <w:pPr>
        <w:pStyle w:val="BodyTextIndent2"/>
        <w:numPr>
          <w:ilvl w:val="0"/>
          <w:numId w:val="1"/>
        </w:numPr>
        <w:spacing w:line="240" w:lineRule="auto"/>
        <w:ind w:left="0" w:firstLine="426"/>
        <w:jc w:val="both"/>
        <w:rPr>
          <w:szCs w:val="24"/>
        </w:rPr>
      </w:pPr>
      <w:r w:rsidRPr="0079065A">
        <w:rPr>
          <w:szCs w:val="24"/>
        </w:rPr>
        <w:t xml:space="preserve">Apstiprināt Daugavpils pilsētas </w:t>
      </w:r>
      <w:r w:rsidR="006135D7" w:rsidRPr="0079065A">
        <w:rPr>
          <w:szCs w:val="24"/>
        </w:rPr>
        <w:t>domes budžeta</w:t>
      </w:r>
      <w:r w:rsidRPr="0079065A">
        <w:rPr>
          <w:szCs w:val="24"/>
        </w:rPr>
        <w:t xml:space="preserve"> iestādes „Kultūras pils”</w:t>
      </w:r>
      <w:r w:rsidR="001429B1" w:rsidRPr="0079065A">
        <w:rPr>
          <w:szCs w:val="24"/>
        </w:rPr>
        <w:t xml:space="preserve"> (turpmāk - Iestāde)</w:t>
      </w:r>
      <w:r w:rsidRPr="0079065A">
        <w:rPr>
          <w:szCs w:val="24"/>
        </w:rPr>
        <w:t xml:space="preserve"> bilancē esošās kustamās un nekustamās mantas iznomāšanas maksu sociālās aizsardzības, kultūras, izglītības, zinātnes, sporta un veselības aprūpes funkciju nodrošināšanai, šādā apmērā:</w:t>
      </w:r>
    </w:p>
    <w:p w:rsidR="005D4651" w:rsidRPr="0079065A" w:rsidRDefault="005D4651" w:rsidP="005D4651">
      <w:pPr>
        <w:pStyle w:val="BodyTextIndent2"/>
        <w:spacing w:line="240" w:lineRule="auto"/>
        <w:ind w:left="927" w:firstLine="0"/>
        <w:jc w:val="both"/>
        <w:rPr>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
        <w:gridCol w:w="3552"/>
        <w:gridCol w:w="1411"/>
        <w:gridCol w:w="1117"/>
        <w:gridCol w:w="1113"/>
        <w:gridCol w:w="1117"/>
      </w:tblGrid>
      <w:tr w:rsidR="003169FF" w:rsidRPr="0079065A" w:rsidTr="006558AB">
        <w:trPr>
          <w:trHeight w:val="904"/>
        </w:trPr>
        <w:tc>
          <w:tcPr>
            <w:tcW w:w="890" w:type="dxa"/>
            <w:vAlign w:val="center"/>
          </w:tcPr>
          <w:p w:rsidR="00B9205C" w:rsidRDefault="003169FF" w:rsidP="0079065A">
            <w:pPr>
              <w:spacing w:after="0" w:line="240" w:lineRule="auto"/>
              <w:jc w:val="both"/>
              <w:rPr>
                <w:szCs w:val="24"/>
                <w:lang w:val="lv-LV"/>
              </w:rPr>
            </w:pPr>
            <w:r w:rsidRPr="0079065A">
              <w:rPr>
                <w:szCs w:val="24"/>
                <w:lang w:val="lv-LV"/>
              </w:rPr>
              <w:t>Nr.</w:t>
            </w:r>
          </w:p>
          <w:p w:rsidR="003169FF" w:rsidRPr="0079065A" w:rsidRDefault="003169FF" w:rsidP="0079065A">
            <w:pPr>
              <w:spacing w:after="0" w:line="240" w:lineRule="auto"/>
              <w:jc w:val="both"/>
              <w:rPr>
                <w:szCs w:val="24"/>
                <w:lang w:val="lv-LV"/>
              </w:rPr>
            </w:pPr>
            <w:r w:rsidRPr="0079065A">
              <w:rPr>
                <w:szCs w:val="24"/>
                <w:lang w:val="lv-LV"/>
              </w:rPr>
              <w:t>p.k.</w:t>
            </w:r>
          </w:p>
        </w:tc>
        <w:tc>
          <w:tcPr>
            <w:tcW w:w="3685" w:type="dxa"/>
            <w:vAlign w:val="center"/>
          </w:tcPr>
          <w:p w:rsidR="003169FF" w:rsidRPr="0079065A" w:rsidRDefault="003169FF" w:rsidP="0079065A">
            <w:pPr>
              <w:spacing w:after="0" w:line="240" w:lineRule="auto"/>
              <w:jc w:val="both"/>
              <w:rPr>
                <w:szCs w:val="24"/>
                <w:lang w:val="lv-LV"/>
              </w:rPr>
            </w:pPr>
            <w:r w:rsidRPr="0079065A">
              <w:rPr>
                <w:szCs w:val="24"/>
                <w:lang w:val="lv-LV"/>
              </w:rPr>
              <w:t>Pakalpojuma veids</w:t>
            </w:r>
          </w:p>
        </w:tc>
        <w:tc>
          <w:tcPr>
            <w:tcW w:w="1417" w:type="dxa"/>
            <w:vAlign w:val="center"/>
          </w:tcPr>
          <w:p w:rsidR="003169FF" w:rsidRPr="0079065A" w:rsidRDefault="003169FF" w:rsidP="0079065A">
            <w:pPr>
              <w:spacing w:after="0" w:line="240" w:lineRule="auto"/>
              <w:jc w:val="both"/>
              <w:rPr>
                <w:szCs w:val="24"/>
                <w:lang w:val="lv-LV"/>
              </w:rPr>
            </w:pPr>
            <w:r w:rsidRPr="0079065A">
              <w:rPr>
                <w:szCs w:val="24"/>
                <w:lang w:val="lv-LV"/>
              </w:rPr>
              <w:t>Mērvienība</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Cena bez PVN (</w:t>
            </w:r>
            <w:r w:rsidRPr="0079065A">
              <w:rPr>
                <w:i/>
                <w:szCs w:val="24"/>
                <w:lang w:val="lv-LV"/>
              </w:rPr>
              <w:t>euro</w:t>
            </w:r>
            <w:r w:rsidRPr="0079065A">
              <w:rPr>
                <w:szCs w:val="24"/>
                <w:lang w:val="lv-LV"/>
              </w:rPr>
              <w:t>)</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PVN</w:t>
            </w:r>
          </w:p>
          <w:p w:rsidR="003169FF" w:rsidRPr="0079065A" w:rsidRDefault="003169FF" w:rsidP="0079065A">
            <w:pPr>
              <w:spacing w:after="0" w:line="240" w:lineRule="auto"/>
              <w:jc w:val="both"/>
              <w:rPr>
                <w:szCs w:val="24"/>
                <w:lang w:val="lv-LV"/>
              </w:rPr>
            </w:pPr>
            <w:r w:rsidRPr="0079065A">
              <w:rPr>
                <w:szCs w:val="24"/>
                <w:lang w:val="lv-LV"/>
              </w:rPr>
              <w:t>(</w:t>
            </w:r>
            <w:r w:rsidRPr="0079065A">
              <w:rPr>
                <w:i/>
                <w:szCs w:val="24"/>
                <w:lang w:val="lv-LV"/>
              </w:rPr>
              <w:t>euro</w:t>
            </w:r>
            <w:r w:rsidRPr="0079065A">
              <w:rPr>
                <w:szCs w:val="24"/>
                <w:lang w:val="lv-LV"/>
              </w:rPr>
              <w:t>)</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Cena ar PVN</w:t>
            </w:r>
          </w:p>
          <w:p w:rsidR="003169FF" w:rsidRPr="0079065A" w:rsidRDefault="003169FF" w:rsidP="0079065A">
            <w:pPr>
              <w:spacing w:after="0" w:line="240" w:lineRule="auto"/>
              <w:jc w:val="both"/>
              <w:rPr>
                <w:szCs w:val="24"/>
                <w:lang w:val="lv-LV"/>
              </w:rPr>
            </w:pPr>
            <w:r w:rsidRPr="0079065A">
              <w:rPr>
                <w:szCs w:val="24"/>
                <w:lang w:val="lv-LV"/>
              </w:rPr>
              <w:t>(</w:t>
            </w:r>
            <w:r w:rsidRPr="0079065A">
              <w:rPr>
                <w:i/>
                <w:szCs w:val="24"/>
                <w:lang w:val="lv-LV"/>
              </w:rPr>
              <w:t>euro</w:t>
            </w:r>
            <w:r w:rsidRPr="0079065A">
              <w:rPr>
                <w:szCs w:val="24"/>
                <w:lang w:val="lv-LV"/>
              </w:rPr>
              <w:t>)</w:t>
            </w:r>
          </w:p>
        </w:tc>
      </w:tr>
      <w:tr w:rsidR="003169FF" w:rsidRPr="0079065A" w:rsidTr="003F6058">
        <w:trPr>
          <w:trHeight w:val="397"/>
        </w:trPr>
        <w:tc>
          <w:tcPr>
            <w:tcW w:w="890" w:type="dxa"/>
            <w:vAlign w:val="center"/>
          </w:tcPr>
          <w:p w:rsidR="003169FF" w:rsidRPr="0079065A" w:rsidRDefault="003169FF" w:rsidP="0079065A">
            <w:pPr>
              <w:spacing w:after="0" w:line="240" w:lineRule="auto"/>
              <w:jc w:val="both"/>
              <w:rPr>
                <w:szCs w:val="24"/>
                <w:lang w:val="lv-LV"/>
              </w:rPr>
            </w:pPr>
            <w:r w:rsidRPr="0079065A">
              <w:rPr>
                <w:szCs w:val="24"/>
                <w:lang w:val="lv-LV"/>
              </w:rPr>
              <w:t>1.1.</w:t>
            </w:r>
          </w:p>
        </w:tc>
        <w:tc>
          <w:tcPr>
            <w:tcW w:w="3685" w:type="dxa"/>
            <w:vAlign w:val="center"/>
          </w:tcPr>
          <w:p w:rsidR="003169FF" w:rsidRPr="0079065A" w:rsidRDefault="003169FF" w:rsidP="0079065A">
            <w:pPr>
              <w:spacing w:after="0" w:line="240" w:lineRule="auto"/>
              <w:jc w:val="both"/>
              <w:rPr>
                <w:szCs w:val="24"/>
                <w:lang w:val="lv-LV"/>
              </w:rPr>
            </w:pPr>
            <w:r w:rsidRPr="0079065A">
              <w:rPr>
                <w:szCs w:val="24"/>
                <w:lang w:val="lv-LV"/>
              </w:rPr>
              <w:t>Lielās koncertzāles noma</w:t>
            </w:r>
          </w:p>
        </w:tc>
        <w:tc>
          <w:tcPr>
            <w:tcW w:w="1417" w:type="dxa"/>
            <w:vAlign w:val="center"/>
          </w:tcPr>
          <w:p w:rsidR="003169FF" w:rsidRPr="0079065A" w:rsidRDefault="003169FF" w:rsidP="0079065A">
            <w:pPr>
              <w:spacing w:after="0" w:line="240" w:lineRule="auto"/>
              <w:jc w:val="both"/>
              <w:rPr>
                <w:szCs w:val="24"/>
                <w:lang w:val="lv-LV"/>
              </w:rPr>
            </w:pPr>
            <w:r w:rsidRPr="0079065A">
              <w:rPr>
                <w:szCs w:val="24"/>
                <w:lang w:val="lv-LV"/>
              </w:rPr>
              <w:t>1 stunda</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200,25</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42,05</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242,30</w:t>
            </w:r>
          </w:p>
        </w:tc>
      </w:tr>
      <w:tr w:rsidR="003169FF" w:rsidRPr="0079065A" w:rsidTr="003F6058">
        <w:trPr>
          <w:trHeight w:val="397"/>
        </w:trPr>
        <w:tc>
          <w:tcPr>
            <w:tcW w:w="890" w:type="dxa"/>
            <w:vAlign w:val="center"/>
          </w:tcPr>
          <w:p w:rsidR="003169FF" w:rsidRPr="0079065A" w:rsidRDefault="003169FF" w:rsidP="0079065A">
            <w:pPr>
              <w:spacing w:after="0" w:line="240" w:lineRule="auto"/>
              <w:jc w:val="both"/>
              <w:rPr>
                <w:szCs w:val="24"/>
                <w:lang w:val="lv-LV"/>
              </w:rPr>
            </w:pPr>
            <w:r w:rsidRPr="0079065A">
              <w:rPr>
                <w:szCs w:val="24"/>
                <w:lang w:val="lv-LV"/>
              </w:rPr>
              <w:t>1.2.</w:t>
            </w:r>
          </w:p>
        </w:tc>
        <w:tc>
          <w:tcPr>
            <w:tcW w:w="3685" w:type="dxa"/>
            <w:vAlign w:val="center"/>
          </w:tcPr>
          <w:p w:rsidR="003169FF" w:rsidRPr="0079065A" w:rsidRDefault="003169FF" w:rsidP="0079065A">
            <w:pPr>
              <w:spacing w:after="0" w:line="240" w:lineRule="auto"/>
              <w:jc w:val="both"/>
              <w:rPr>
                <w:szCs w:val="24"/>
                <w:lang w:val="lv-LV"/>
              </w:rPr>
            </w:pPr>
            <w:r w:rsidRPr="0079065A">
              <w:rPr>
                <w:szCs w:val="24"/>
                <w:lang w:val="lv-LV"/>
              </w:rPr>
              <w:t>Lielās koncertzāles noma dekorāciju montāžai un mēģinājumiem</w:t>
            </w:r>
          </w:p>
        </w:tc>
        <w:tc>
          <w:tcPr>
            <w:tcW w:w="1417" w:type="dxa"/>
            <w:vAlign w:val="center"/>
          </w:tcPr>
          <w:p w:rsidR="003169FF" w:rsidRPr="0079065A" w:rsidRDefault="003169FF" w:rsidP="0079065A">
            <w:pPr>
              <w:spacing w:after="0" w:line="240" w:lineRule="auto"/>
              <w:jc w:val="both"/>
              <w:rPr>
                <w:szCs w:val="24"/>
                <w:lang w:val="lv-LV"/>
              </w:rPr>
            </w:pPr>
            <w:r w:rsidRPr="0079065A">
              <w:rPr>
                <w:szCs w:val="24"/>
                <w:lang w:val="lv-LV"/>
              </w:rPr>
              <w:t>1 stunda</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85,12</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17,88</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103,00</w:t>
            </w:r>
          </w:p>
        </w:tc>
      </w:tr>
      <w:tr w:rsidR="003169FF" w:rsidRPr="0079065A" w:rsidTr="003F6058">
        <w:trPr>
          <w:trHeight w:val="397"/>
        </w:trPr>
        <w:tc>
          <w:tcPr>
            <w:tcW w:w="890" w:type="dxa"/>
            <w:vAlign w:val="center"/>
          </w:tcPr>
          <w:p w:rsidR="003169FF" w:rsidRPr="0079065A" w:rsidRDefault="003169FF" w:rsidP="0079065A">
            <w:pPr>
              <w:spacing w:after="0" w:line="240" w:lineRule="auto"/>
              <w:jc w:val="both"/>
              <w:rPr>
                <w:szCs w:val="24"/>
                <w:lang w:val="lv-LV"/>
              </w:rPr>
            </w:pPr>
            <w:r w:rsidRPr="0079065A">
              <w:rPr>
                <w:szCs w:val="24"/>
                <w:lang w:val="lv-LV"/>
              </w:rPr>
              <w:t>1.3.</w:t>
            </w:r>
          </w:p>
        </w:tc>
        <w:tc>
          <w:tcPr>
            <w:tcW w:w="3685" w:type="dxa"/>
            <w:vAlign w:val="center"/>
          </w:tcPr>
          <w:p w:rsidR="003169FF" w:rsidRPr="0079065A" w:rsidRDefault="003169FF" w:rsidP="0079065A">
            <w:pPr>
              <w:pStyle w:val="a"/>
              <w:spacing w:after="0" w:line="240" w:lineRule="auto"/>
              <w:ind w:left="0"/>
              <w:jc w:val="both"/>
              <w:rPr>
                <w:szCs w:val="24"/>
                <w:lang w:val="lv-LV"/>
              </w:rPr>
            </w:pPr>
            <w:r w:rsidRPr="0079065A">
              <w:rPr>
                <w:szCs w:val="24"/>
                <w:lang w:val="lv-LV"/>
              </w:rPr>
              <w:t>Mazās koncertzāles noma</w:t>
            </w:r>
          </w:p>
        </w:tc>
        <w:tc>
          <w:tcPr>
            <w:tcW w:w="1417" w:type="dxa"/>
            <w:vAlign w:val="center"/>
          </w:tcPr>
          <w:p w:rsidR="003169FF" w:rsidRPr="0079065A" w:rsidRDefault="003169FF" w:rsidP="0079065A">
            <w:pPr>
              <w:spacing w:after="0" w:line="240" w:lineRule="auto"/>
              <w:jc w:val="both"/>
              <w:rPr>
                <w:szCs w:val="24"/>
                <w:lang w:val="lv-LV"/>
              </w:rPr>
            </w:pPr>
            <w:r w:rsidRPr="0079065A">
              <w:rPr>
                <w:szCs w:val="24"/>
                <w:lang w:val="lv-LV"/>
              </w:rPr>
              <w:t>1 stunda</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66,65</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14,00</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80,65</w:t>
            </w:r>
          </w:p>
        </w:tc>
      </w:tr>
      <w:tr w:rsidR="003169FF" w:rsidRPr="0079065A" w:rsidTr="003F6058">
        <w:trPr>
          <w:trHeight w:val="397"/>
        </w:trPr>
        <w:tc>
          <w:tcPr>
            <w:tcW w:w="890" w:type="dxa"/>
            <w:vAlign w:val="center"/>
          </w:tcPr>
          <w:p w:rsidR="003169FF" w:rsidRPr="0079065A" w:rsidRDefault="003169FF" w:rsidP="0079065A">
            <w:pPr>
              <w:spacing w:after="0" w:line="240" w:lineRule="auto"/>
              <w:jc w:val="both"/>
              <w:rPr>
                <w:szCs w:val="24"/>
                <w:lang w:val="lv-LV"/>
              </w:rPr>
            </w:pPr>
            <w:r w:rsidRPr="0079065A">
              <w:rPr>
                <w:szCs w:val="24"/>
                <w:lang w:val="lv-LV"/>
              </w:rPr>
              <w:t>1.4.</w:t>
            </w:r>
          </w:p>
        </w:tc>
        <w:tc>
          <w:tcPr>
            <w:tcW w:w="3685" w:type="dxa"/>
            <w:vAlign w:val="center"/>
          </w:tcPr>
          <w:p w:rsidR="003169FF" w:rsidRPr="0079065A" w:rsidRDefault="003169FF" w:rsidP="0079065A">
            <w:pPr>
              <w:pStyle w:val="a"/>
              <w:spacing w:after="0" w:line="240" w:lineRule="auto"/>
              <w:ind w:left="0"/>
              <w:jc w:val="both"/>
              <w:rPr>
                <w:szCs w:val="24"/>
                <w:lang w:val="lv-LV"/>
              </w:rPr>
            </w:pPr>
            <w:r w:rsidRPr="0079065A">
              <w:rPr>
                <w:szCs w:val="24"/>
                <w:lang w:val="lv-LV"/>
              </w:rPr>
              <w:t>Mazās koncertzāles noma dekorāciju montāžai un mēģinājumiem</w:t>
            </w:r>
          </w:p>
        </w:tc>
        <w:tc>
          <w:tcPr>
            <w:tcW w:w="1417" w:type="dxa"/>
            <w:vAlign w:val="center"/>
          </w:tcPr>
          <w:p w:rsidR="003169FF" w:rsidRPr="0079065A" w:rsidRDefault="003169FF" w:rsidP="0079065A">
            <w:pPr>
              <w:spacing w:after="0" w:line="240" w:lineRule="auto"/>
              <w:jc w:val="both"/>
              <w:rPr>
                <w:szCs w:val="24"/>
                <w:lang w:val="lv-LV"/>
              </w:rPr>
            </w:pPr>
            <w:r w:rsidRPr="0079065A">
              <w:rPr>
                <w:szCs w:val="24"/>
                <w:lang w:val="lv-LV"/>
              </w:rPr>
              <w:t>1 stunda</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32,55</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6,84</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39,39</w:t>
            </w:r>
          </w:p>
        </w:tc>
      </w:tr>
      <w:tr w:rsidR="003169FF" w:rsidRPr="0079065A" w:rsidTr="003F6058">
        <w:trPr>
          <w:trHeight w:val="397"/>
        </w:trPr>
        <w:tc>
          <w:tcPr>
            <w:tcW w:w="890" w:type="dxa"/>
            <w:vAlign w:val="center"/>
          </w:tcPr>
          <w:p w:rsidR="003169FF" w:rsidRPr="0079065A" w:rsidRDefault="003169FF" w:rsidP="0079065A">
            <w:pPr>
              <w:spacing w:after="0" w:line="240" w:lineRule="auto"/>
              <w:jc w:val="both"/>
              <w:rPr>
                <w:szCs w:val="24"/>
                <w:lang w:val="lv-LV"/>
              </w:rPr>
            </w:pPr>
            <w:r w:rsidRPr="0079065A">
              <w:rPr>
                <w:szCs w:val="24"/>
                <w:lang w:val="lv-LV"/>
              </w:rPr>
              <w:t>1.5.</w:t>
            </w:r>
          </w:p>
        </w:tc>
        <w:tc>
          <w:tcPr>
            <w:tcW w:w="3685" w:type="dxa"/>
            <w:vAlign w:val="center"/>
          </w:tcPr>
          <w:p w:rsidR="003169FF" w:rsidRPr="0079065A" w:rsidRDefault="003169FF" w:rsidP="0079065A">
            <w:pPr>
              <w:pStyle w:val="a"/>
              <w:spacing w:after="0" w:line="240" w:lineRule="auto"/>
              <w:ind w:left="0"/>
              <w:jc w:val="both"/>
              <w:rPr>
                <w:szCs w:val="24"/>
                <w:lang w:val="lv-LV"/>
              </w:rPr>
            </w:pPr>
            <w:r w:rsidRPr="0079065A">
              <w:rPr>
                <w:szCs w:val="24"/>
                <w:lang w:val="lv-LV"/>
              </w:rPr>
              <w:t xml:space="preserve">Telpu noma ( 1., 2. stāva foajē, </w:t>
            </w:r>
            <w:r w:rsidRPr="0079065A">
              <w:rPr>
                <w:szCs w:val="24"/>
                <w:lang w:val="lv-LV"/>
              </w:rPr>
              <w:lastRenderedPageBreak/>
              <w:t>deju zāles, kabineti)</w:t>
            </w:r>
          </w:p>
        </w:tc>
        <w:tc>
          <w:tcPr>
            <w:tcW w:w="1417" w:type="dxa"/>
            <w:vAlign w:val="center"/>
          </w:tcPr>
          <w:p w:rsidR="003169FF" w:rsidRPr="0079065A" w:rsidRDefault="003169FF" w:rsidP="0079065A">
            <w:pPr>
              <w:spacing w:after="0" w:line="240" w:lineRule="auto"/>
              <w:jc w:val="both"/>
              <w:rPr>
                <w:szCs w:val="24"/>
                <w:lang w:val="lv-LV"/>
              </w:rPr>
            </w:pPr>
            <w:r w:rsidRPr="0079065A">
              <w:rPr>
                <w:szCs w:val="24"/>
                <w:lang w:val="lv-LV"/>
              </w:rPr>
              <w:lastRenderedPageBreak/>
              <w:t>1 m</w:t>
            </w:r>
            <w:r w:rsidRPr="0079065A">
              <w:rPr>
                <w:szCs w:val="24"/>
                <w:vertAlign w:val="superscript"/>
                <w:lang w:val="lv-LV"/>
              </w:rPr>
              <w:t>2</w:t>
            </w:r>
            <w:r w:rsidRPr="0079065A">
              <w:rPr>
                <w:szCs w:val="24"/>
                <w:lang w:val="lv-LV"/>
              </w:rPr>
              <w:t>/stundā</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0,12</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0,03</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0,15</w:t>
            </w:r>
          </w:p>
        </w:tc>
      </w:tr>
      <w:tr w:rsidR="003169FF" w:rsidRPr="0079065A" w:rsidTr="003F6058">
        <w:trPr>
          <w:trHeight w:val="397"/>
        </w:trPr>
        <w:tc>
          <w:tcPr>
            <w:tcW w:w="890" w:type="dxa"/>
            <w:vAlign w:val="center"/>
          </w:tcPr>
          <w:p w:rsidR="003169FF" w:rsidRPr="0079065A" w:rsidRDefault="003169FF" w:rsidP="0079065A">
            <w:pPr>
              <w:spacing w:after="0" w:line="240" w:lineRule="auto"/>
              <w:jc w:val="both"/>
              <w:rPr>
                <w:szCs w:val="24"/>
                <w:lang w:val="lv-LV"/>
              </w:rPr>
            </w:pPr>
            <w:r w:rsidRPr="0079065A">
              <w:rPr>
                <w:szCs w:val="24"/>
                <w:lang w:val="lv-LV"/>
              </w:rPr>
              <w:t>1.6.</w:t>
            </w:r>
          </w:p>
        </w:tc>
        <w:tc>
          <w:tcPr>
            <w:tcW w:w="3685" w:type="dxa"/>
            <w:vAlign w:val="center"/>
          </w:tcPr>
          <w:p w:rsidR="003169FF" w:rsidRPr="0079065A" w:rsidRDefault="003169FF" w:rsidP="0079065A">
            <w:pPr>
              <w:pStyle w:val="a"/>
              <w:spacing w:after="0" w:line="240" w:lineRule="auto"/>
              <w:ind w:left="-108"/>
              <w:jc w:val="both"/>
              <w:rPr>
                <w:szCs w:val="24"/>
                <w:lang w:val="lv-LV"/>
              </w:rPr>
            </w:pPr>
            <w:r w:rsidRPr="0079065A">
              <w:rPr>
                <w:szCs w:val="24"/>
                <w:lang w:val="lv-LV"/>
              </w:rPr>
              <w:t xml:space="preserve">  Kabinetu noma</w:t>
            </w:r>
          </w:p>
        </w:tc>
        <w:tc>
          <w:tcPr>
            <w:tcW w:w="1417" w:type="dxa"/>
            <w:vAlign w:val="center"/>
          </w:tcPr>
          <w:p w:rsidR="003169FF" w:rsidRPr="0079065A" w:rsidRDefault="003169FF" w:rsidP="0079065A">
            <w:pPr>
              <w:spacing w:after="0" w:line="240" w:lineRule="auto"/>
              <w:jc w:val="both"/>
              <w:rPr>
                <w:szCs w:val="24"/>
                <w:lang w:val="lv-LV"/>
              </w:rPr>
            </w:pPr>
            <w:r w:rsidRPr="0079065A">
              <w:rPr>
                <w:szCs w:val="24"/>
                <w:lang w:val="lv-LV"/>
              </w:rPr>
              <w:t>1 m</w:t>
            </w:r>
            <w:r w:rsidRPr="0079065A">
              <w:rPr>
                <w:szCs w:val="24"/>
                <w:vertAlign w:val="superscript"/>
                <w:lang w:val="lv-LV"/>
              </w:rPr>
              <w:t>2</w:t>
            </w:r>
            <w:r w:rsidRPr="0079065A">
              <w:rPr>
                <w:szCs w:val="24"/>
                <w:lang w:val="lv-LV"/>
              </w:rPr>
              <w:t>/mēnesī</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1,65</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0,35</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2,00</w:t>
            </w:r>
          </w:p>
        </w:tc>
      </w:tr>
    </w:tbl>
    <w:p w:rsidR="0079065A" w:rsidRDefault="0079065A" w:rsidP="0079065A">
      <w:pPr>
        <w:spacing w:after="0" w:line="240" w:lineRule="auto"/>
        <w:ind w:firstLine="567"/>
        <w:jc w:val="both"/>
        <w:rPr>
          <w:szCs w:val="24"/>
          <w:lang w:val="lv-LV"/>
        </w:rPr>
      </w:pPr>
    </w:p>
    <w:p w:rsidR="003169FF" w:rsidRPr="0079065A" w:rsidRDefault="003169FF" w:rsidP="0079065A">
      <w:pPr>
        <w:spacing w:after="0" w:line="240" w:lineRule="auto"/>
        <w:ind w:firstLine="567"/>
        <w:jc w:val="both"/>
        <w:rPr>
          <w:szCs w:val="24"/>
          <w:lang w:val="lv-LV"/>
        </w:rPr>
      </w:pPr>
      <w:r w:rsidRPr="0079065A">
        <w:rPr>
          <w:szCs w:val="24"/>
          <w:lang w:val="lv-LV"/>
        </w:rPr>
        <w:t xml:space="preserve">2. Apstiprināt </w:t>
      </w:r>
      <w:r w:rsidR="001429B1" w:rsidRPr="0079065A">
        <w:rPr>
          <w:szCs w:val="24"/>
          <w:lang w:val="lv-LV"/>
        </w:rPr>
        <w:t xml:space="preserve">Iestādes </w:t>
      </w:r>
      <w:r w:rsidRPr="0079065A">
        <w:rPr>
          <w:szCs w:val="24"/>
          <w:lang w:val="lv-LV"/>
        </w:rPr>
        <w:t>ska</w:t>
      </w:r>
      <w:r w:rsidR="0058021D" w:rsidRPr="0079065A">
        <w:rPr>
          <w:szCs w:val="24"/>
          <w:lang w:val="lv-LV"/>
        </w:rPr>
        <w:t>ņas, gaismas aparatūras un kusta</w:t>
      </w:r>
      <w:r w:rsidRPr="0079065A">
        <w:rPr>
          <w:szCs w:val="24"/>
          <w:lang w:val="lv-LV"/>
        </w:rPr>
        <w:t>mās mantas nomas maksas cenrādi atbilstoši pielikumam.</w:t>
      </w:r>
    </w:p>
    <w:p w:rsidR="0079065A" w:rsidRDefault="0079065A" w:rsidP="0079065A">
      <w:pPr>
        <w:spacing w:after="0" w:line="240" w:lineRule="auto"/>
        <w:ind w:firstLine="567"/>
        <w:jc w:val="both"/>
        <w:rPr>
          <w:szCs w:val="24"/>
          <w:lang w:val="lv-LV"/>
        </w:rPr>
      </w:pPr>
    </w:p>
    <w:p w:rsidR="003169FF" w:rsidRDefault="003169FF" w:rsidP="0079065A">
      <w:pPr>
        <w:spacing w:after="0" w:line="240" w:lineRule="auto"/>
        <w:ind w:firstLine="567"/>
        <w:jc w:val="both"/>
        <w:rPr>
          <w:szCs w:val="24"/>
          <w:lang w:val="lv-LV"/>
        </w:rPr>
      </w:pPr>
      <w:r w:rsidRPr="0079065A">
        <w:rPr>
          <w:szCs w:val="24"/>
          <w:lang w:val="lv-LV"/>
        </w:rPr>
        <w:t xml:space="preserve">3. Apstiprināt Starptautiskā bērnu un jauniešu cirka mākslas festivāla „PARAD ALLE” ieejas </w:t>
      </w:r>
      <w:r w:rsidR="001429B1" w:rsidRPr="0079065A">
        <w:rPr>
          <w:szCs w:val="24"/>
          <w:lang w:val="lv-LV"/>
        </w:rPr>
        <w:t>biļetes</w:t>
      </w:r>
      <w:r w:rsidRPr="0079065A">
        <w:rPr>
          <w:szCs w:val="24"/>
          <w:lang w:val="lv-LV"/>
        </w:rPr>
        <w:t xml:space="preserve"> </w:t>
      </w:r>
      <w:r w:rsidR="001429B1" w:rsidRPr="0079065A">
        <w:rPr>
          <w:szCs w:val="24"/>
          <w:lang w:val="lv-LV"/>
        </w:rPr>
        <w:t>cenu</w:t>
      </w:r>
      <w:r w:rsidRPr="0079065A">
        <w:rPr>
          <w:szCs w:val="24"/>
          <w:lang w:val="lv-LV"/>
        </w:rPr>
        <w:t>:</w:t>
      </w:r>
    </w:p>
    <w:p w:rsidR="0079065A" w:rsidRPr="0079065A" w:rsidRDefault="0079065A" w:rsidP="0079065A">
      <w:pPr>
        <w:spacing w:after="0" w:line="240" w:lineRule="auto"/>
        <w:ind w:firstLine="567"/>
        <w:jc w:val="both"/>
        <w:rPr>
          <w:szCs w:val="24"/>
          <w:lang w:val="lv-LV"/>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3685"/>
        <w:gridCol w:w="1417"/>
        <w:gridCol w:w="1134"/>
        <w:gridCol w:w="1134"/>
        <w:gridCol w:w="954"/>
      </w:tblGrid>
      <w:tr w:rsidR="001A0D20" w:rsidRPr="0079065A" w:rsidTr="0079065A">
        <w:trPr>
          <w:trHeight w:val="874"/>
        </w:trPr>
        <w:tc>
          <w:tcPr>
            <w:tcW w:w="890" w:type="dxa"/>
            <w:vAlign w:val="center"/>
          </w:tcPr>
          <w:p w:rsidR="00B9205C" w:rsidRDefault="003169FF" w:rsidP="0079065A">
            <w:pPr>
              <w:spacing w:after="0" w:line="240" w:lineRule="auto"/>
              <w:jc w:val="both"/>
              <w:rPr>
                <w:szCs w:val="24"/>
                <w:lang w:val="lv-LV"/>
              </w:rPr>
            </w:pPr>
            <w:r w:rsidRPr="0079065A">
              <w:rPr>
                <w:szCs w:val="24"/>
                <w:lang w:val="lv-LV"/>
              </w:rPr>
              <w:t>Nr.</w:t>
            </w:r>
          </w:p>
          <w:p w:rsidR="003169FF" w:rsidRPr="0079065A" w:rsidRDefault="003169FF" w:rsidP="0079065A">
            <w:pPr>
              <w:spacing w:after="0" w:line="240" w:lineRule="auto"/>
              <w:jc w:val="both"/>
              <w:rPr>
                <w:szCs w:val="24"/>
                <w:lang w:val="lv-LV"/>
              </w:rPr>
            </w:pPr>
            <w:r w:rsidRPr="0079065A">
              <w:rPr>
                <w:szCs w:val="24"/>
                <w:lang w:val="lv-LV"/>
              </w:rPr>
              <w:t>p.k.</w:t>
            </w:r>
          </w:p>
        </w:tc>
        <w:tc>
          <w:tcPr>
            <w:tcW w:w="3685" w:type="dxa"/>
            <w:vAlign w:val="center"/>
          </w:tcPr>
          <w:p w:rsidR="003169FF" w:rsidRPr="0079065A" w:rsidRDefault="003169FF" w:rsidP="0079065A">
            <w:pPr>
              <w:spacing w:after="0" w:line="240" w:lineRule="auto"/>
              <w:jc w:val="both"/>
              <w:rPr>
                <w:szCs w:val="24"/>
                <w:lang w:val="lv-LV"/>
              </w:rPr>
            </w:pPr>
            <w:r w:rsidRPr="0079065A">
              <w:rPr>
                <w:szCs w:val="24"/>
                <w:lang w:val="lv-LV"/>
              </w:rPr>
              <w:t>Pakalpojuma veids</w:t>
            </w:r>
          </w:p>
        </w:tc>
        <w:tc>
          <w:tcPr>
            <w:tcW w:w="1417" w:type="dxa"/>
            <w:vAlign w:val="center"/>
          </w:tcPr>
          <w:p w:rsidR="003169FF" w:rsidRPr="0079065A" w:rsidRDefault="003169FF" w:rsidP="0079065A">
            <w:pPr>
              <w:spacing w:after="0" w:line="240" w:lineRule="auto"/>
              <w:jc w:val="both"/>
              <w:rPr>
                <w:szCs w:val="24"/>
                <w:lang w:val="lv-LV"/>
              </w:rPr>
            </w:pPr>
            <w:r w:rsidRPr="0079065A">
              <w:rPr>
                <w:szCs w:val="24"/>
                <w:lang w:val="lv-LV"/>
              </w:rPr>
              <w:t>Mērvienība</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Cena bez PVN (</w:t>
            </w:r>
            <w:r w:rsidRPr="0079065A">
              <w:rPr>
                <w:i/>
                <w:szCs w:val="24"/>
                <w:lang w:val="lv-LV"/>
              </w:rPr>
              <w:t>euro</w:t>
            </w:r>
            <w:r w:rsidRPr="0079065A">
              <w:rPr>
                <w:szCs w:val="24"/>
                <w:lang w:val="lv-LV"/>
              </w:rPr>
              <w:t>)</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PVN</w:t>
            </w:r>
          </w:p>
          <w:p w:rsidR="003169FF" w:rsidRPr="0079065A" w:rsidRDefault="003169FF" w:rsidP="0079065A">
            <w:pPr>
              <w:spacing w:after="0" w:line="240" w:lineRule="auto"/>
              <w:jc w:val="both"/>
              <w:rPr>
                <w:szCs w:val="24"/>
                <w:lang w:val="lv-LV"/>
              </w:rPr>
            </w:pPr>
            <w:r w:rsidRPr="0079065A">
              <w:rPr>
                <w:szCs w:val="24"/>
                <w:lang w:val="lv-LV"/>
              </w:rPr>
              <w:t>(</w:t>
            </w:r>
            <w:r w:rsidRPr="0079065A">
              <w:rPr>
                <w:i/>
                <w:szCs w:val="24"/>
                <w:lang w:val="lv-LV"/>
              </w:rPr>
              <w:t>euro</w:t>
            </w:r>
            <w:r w:rsidRPr="0079065A">
              <w:rPr>
                <w:szCs w:val="24"/>
                <w:lang w:val="lv-LV"/>
              </w:rPr>
              <w:t>)</w:t>
            </w:r>
          </w:p>
        </w:tc>
        <w:tc>
          <w:tcPr>
            <w:tcW w:w="954" w:type="dxa"/>
            <w:vAlign w:val="center"/>
          </w:tcPr>
          <w:p w:rsidR="003169FF" w:rsidRPr="0079065A" w:rsidRDefault="003169FF" w:rsidP="0079065A">
            <w:pPr>
              <w:spacing w:after="0" w:line="240" w:lineRule="auto"/>
              <w:jc w:val="both"/>
              <w:rPr>
                <w:szCs w:val="24"/>
                <w:lang w:val="lv-LV"/>
              </w:rPr>
            </w:pPr>
            <w:r w:rsidRPr="0079065A">
              <w:rPr>
                <w:szCs w:val="24"/>
                <w:lang w:val="lv-LV"/>
              </w:rPr>
              <w:t>Cena ar PVN</w:t>
            </w:r>
          </w:p>
          <w:p w:rsidR="003169FF" w:rsidRPr="0079065A" w:rsidRDefault="003169FF" w:rsidP="0079065A">
            <w:pPr>
              <w:spacing w:after="0" w:line="240" w:lineRule="auto"/>
              <w:jc w:val="both"/>
              <w:rPr>
                <w:szCs w:val="24"/>
                <w:lang w:val="lv-LV"/>
              </w:rPr>
            </w:pPr>
            <w:r w:rsidRPr="0079065A">
              <w:rPr>
                <w:szCs w:val="24"/>
                <w:lang w:val="lv-LV"/>
              </w:rPr>
              <w:t>(</w:t>
            </w:r>
            <w:r w:rsidRPr="0079065A">
              <w:rPr>
                <w:i/>
                <w:szCs w:val="24"/>
                <w:lang w:val="lv-LV"/>
              </w:rPr>
              <w:t>euro</w:t>
            </w:r>
            <w:r w:rsidRPr="0079065A">
              <w:rPr>
                <w:szCs w:val="24"/>
                <w:lang w:val="lv-LV"/>
              </w:rPr>
              <w:t>)</w:t>
            </w:r>
          </w:p>
        </w:tc>
      </w:tr>
      <w:tr w:rsidR="001A0D20" w:rsidRPr="0079065A" w:rsidTr="0079065A">
        <w:trPr>
          <w:trHeight w:val="397"/>
        </w:trPr>
        <w:tc>
          <w:tcPr>
            <w:tcW w:w="890" w:type="dxa"/>
            <w:vAlign w:val="center"/>
          </w:tcPr>
          <w:p w:rsidR="003169FF" w:rsidRPr="0079065A" w:rsidRDefault="003169FF" w:rsidP="0079065A">
            <w:pPr>
              <w:spacing w:after="0" w:line="240" w:lineRule="auto"/>
              <w:jc w:val="both"/>
              <w:rPr>
                <w:szCs w:val="24"/>
                <w:lang w:val="lv-LV"/>
              </w:rPr>
            </w:pPr>
            <w:r w:rsidRPr="0079065A">
              <w:rPr>
                <w:szCs w:val="24"/>
                <w:lang w:val="lv-LV"/>
              </w:rPr>
              <w:t>3.1.</w:t>
            </w:r>
          </w:p>
        </w:tc>
        <w:tc>
          <w:tcPr>
            <w:tcW w:w="3685" w:type="dxa"/>
            <w:vAlign w:val="center"/>
          </w:tcPr>
          <w:p w:rsidR="003169FF" w:rsidRPr="0079065A" w:rsidRDefault="003169FF" w:rsidP="0079065A">
            <w:pPr>
              <w:spacing w:after="0" w:line="240" w:lineRule="auto"/>
              <w:jc w:val="both"/>
              <w:rPr>
                <w:szCs w:val="24"/>
                <w:lang w:val="lv-LV"/>
              </w:rPr>
            </w:pPr>
            <w:r w:rsidRPr="0079065A">
              <w:rPr>
                <w:szCs w:val="24"/>
                <w:lang w:val="lv-LV"/>
              </w:rPr>
              <w:t xml:space="preserve">Ieejas </w:t>
            </w:r>
            <w:r w:rsidR="001429B1" w:rsidRPr="0079065A">
              <w:rPr>
                <w:szCs w:val="24"/>
                <w:lang w:val="lv-LV"/>
              </w:rPr>
              <w:t>biļetes</w:t>
            </w:r>
            <w:r w:rsidRPr="0079065A">
              <w:rPr>
                <w:szCs w:val="24"/>
                <w:lang w:val="lv-LV"/>
              </w:rPr>
              <w:t xml:space="preserve"> cena </w:t>
            </w:r>
          </w:p>
        </w:tc>
        <w:tc>
          <w:tcPr>
            <w:tcW w:w="1417" w:type="dxa"/>
            <w:vAlign w:val="center"/>
          </w:tcPr>
          <w:p w:rsidR="003169FF" w:rsidRPr="0079065A" w:rsidRDefault="003169FF" w:rsidP="0079065A">
            <w:pPr>
              <w:spacing w:after="0" w:line="240" w:lineRule="auto"/>
              <w:jc w:val="both"/>
              <w:rPr>
                <w:szCs w:val="24"/>
                <w:lang w:val="lv-LV"/>
              </w:rPr>
            </w:pPr>
            <w:r w:rsidRPr="0079065A">
              <w:rPr>
                <w:szCs w:val="24"/>
                <w:lang w:val="lv-LV"/>
              </w:rPr>
              <w:t>1 pasākums</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5,00</w:t>
            </w:r>
          </w:p>
        </w:tc>
        <w:tc>
          <w:tcPr>
            <w:tcW w:w="1134" w:type="dxa"/>
            <w:vAlign w:val="center"/>
          </w:tcPr>
          <w:p w:rsidR="003169FF" w:rsidRPr="0079065A" w:rsidRDefault="003169FF" w:rsidP="0079065A">
            <w:pPr>
              <w:spacing w:after="0" w:line="240" w:lineRule="auto"/>
              <w:jc w:val="both"/>
              <w:rPr>
                <w:szCs w:val="24"/>
                <w:lang w:val="lv-LV"/>
              </w:rPr>
            </w:pPr>
            <w:r w:rsidRPr="0079065A">
              <w:rPr>
                <w:szCs w:val="24"/>
                <w:lang w:val="lv-LV"/>
              </w:rPr>
              <w:t>0*</w:t>
            </w:r>
          </w:p>
        </w:tc>
        <w:tc>
          <w:tcPr>
            <w:tcW w:w="954" w:type="dxa"/>
            <w:vAlign w:val="center"/>
          </w:tcPr>
          <w:p w:rsidR="003169FF" w:rsidRPr="0079065A" w:rsidRDefault="003169FF" w:rsidP="0079065A">
            <w:pPr>
              <w:spacing w:after="0" w:line="240" w:lineRule="auto"/>
              <w:jc w:val="both"/>
              <w:rPr>
                <w:szCs w:val="24"/>
                <w:lang w:val="lv-LV"/>
              </w:rPr>
            </w:pPr>
            <w:r w:rsidRPr="0079065A">
              <w:rPr>
                <w:szCs w:val="24"/>
                <w:lang w:val="lv-LV"/>
              </w:rPr>
              <w:t>5,00</w:t>
            </w:r>
          </w:p>
        </w:tc>
      </w:tr>
    </w:tbl>
    <w:p w:rsidR="0079065A" w:rsidRDefault="0079065A" w:rsidP="0079065A">
      <w:pPr>
        <w:spacing w:after="0" w:line="240" w:lineRule="auto"/>
        <w:ind w:firstLine="567"/>
        <w:jc w:val="both"/>
        <w:rPr>
          <w:szCs w:val="24"/>
          <w:lang w:val="lv-LV"/>
        </w:rPr>
      </w:pPr>
    </w:p>
    <w:p w:rsidR="003169FF" w:rsidRDefault="003169FF" w:rsidP="0079065A">
      <w:pPr>
        <w:spacing w:after="0" w:line="240" w:lineRule="auto"/>
        <w:ind w:firstLine="567"/>
        <w:jc w:val="both"/>
        <w:rPr>
          <w:szCs w:val="24"/>
          <w:lang w:val="lv-LV"/>
        </w:rPr>
      </w:pPr>
      <w:r w:rsidRPr="0079065A">
        <w:rPr>
          <w:szCs w:val="24"/>
          <w:lang w:val="lv-LV"/>
        </w:rPr>
        <w:t xml:space="preserve">4. Apstiprināt </w:t>
      </w:r>
      <w:r w:rsidR="00F247FB" w:rsidRPr="0079065A">
        <w:rPr>
          <w:szCs w:val="24"/>
          <w:lang w:val="lv-LV"/>
        </w:rPr>
        <w:t>skolnieku muzikālā konkursa “POP CLIP”</w:t>
      </w:r>
      <w:r w:rsidRPr="0079065A">
        <w:rPr>
          <w:szCs w:val="24"/>
          <w:lang w:val="lv-LV"/>
        </w:rPr>
        <w:t xml:space="preserve"> ieejas </w:t>
      </w:r>
      <w:r w:rsidR="001429B1" w:rsidRPr="0079065A">
        <w:rPr>
          <w:szCs w:val="24"/>
          <w:lang w:val="lv-LV"/>
        </w:rPr>
        <w:t>biļetes</w:t>
      </w:r>
      <w:r w:rsidRPr="0079065A">
        <w:rPr>
          <w:szCs w:val="24"/>
          <w:lang w:val="lv-LV"/>
        </w:rPr>
        <w:t xml:space="preserve"> </w:t>
      </w:r>
      <w:r w:rsidR="001429B1" w:rsidRPr="0079065A">
        <w:rPr>
          <w:szCs w:val="24"/>
          <w:lang w:val="lv-LV"/>
        </w:rPr>
        <w:t>cenu</w:t>
      </w:r>
      <w:r w:rsidRPr="0079065A">
        <w:rPr>
          <w:szCs w:val="24"/>
          <w:lang w:val="lv-LV"/>
        </w:rPr>
        <w:t>:</w:t>
      </w:r>
    </w:p>
    <w:p w:rsidR="0079065A" w:rsidRPr="0079065A" w:rsidRDefault="0079065A" w:rsidP="0079065A">
      <w:pPr>
        <w:spacing w:after="0" w:line="240" w:lineRule="auto"/>
        <w:ind w:firstLine="567"/>
        <w:jc w:val="both"/>
        <w:rPr>
          <w:szCs w:val="24"/>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2534"/>
        <w:gridCol w:w="1368"/>
        <w:gridCol w:w="969"/>
        <w:gridCol w:w="969"/>
        <w:gridCol w:w="680"/>
        <w:gridCol w:w="800"/>
        <w:gridCol w:w="969"/>
      </w:tblGrid>
      <w:tr w:rsidR="0079065A" w:rsidRPr="0079065A" w:rsidTr="0079065A">
        <w:trPr>
          <w:trHeight w:val="897"/>
        </w:trPr>
        <w:tc>
          <w:tcPr>
            <w:tcW w:w="890" w:type="dxa"/>
            <w:vAlign w:val="center"/>
          </w:tcPr>
          <w:p w:rsidR="00B9205C" w:rsidRDefault="0079065A" w:rsidP="0079065A">
            <w:pPr>
              <w:spacing w:after="0" w:line="240" w:lineRule="auto"/>
              <w:jc w:val="both"/>
              <w:rPr>
                <w:szCs w:val="24"/>
                <w:lang w:val="lv-LV"/>
              </w:rPr>
            </w:pPr>
            <w:r w:rsidRPr="0079065A">
              <w:rPr>
                <w:szCs w:val="24"/>
                <w:lang w:val="lv-LV"/>
              </w:rPr>
              <w:t>Nr.</w:t>
            </w:r>
          </w:p>
          <w:p w:rsidR="0079065A" w:rsidRPr="0079065A" w:rsidRDefault="0079065A" w:rsidP="0079065A">
            <w:pPr>
              <w:spacing w:after="0" w:line="240" w:lineRule="auto"/>
              <w:jc w:val="both"/>
              <w:rPr>
                <w:szCs w:val="24"/>
                <w:lang w:val="lv-LV"/>
              </w:rPr>
            </w:pPr>
            <w:r w:rsidRPr="0079065A">
              <w:rPr>
                <w:szCs w:val="24"/>
                <w:lang w:val="lv-LV"/>
              </w:rPr>
              <w:t>p.k.</w:t>
            </w:r>
          </w:p>
        </w:tc>
        <w:tc>
          <w:tcPr>
            <w:tcW w:w="2534" w:type="dxa"/>
            <w:vAlign w:val="center"/>
          </w:tcPr>
          <w:p w:rsidR="0079065A" w:rsidRPr="0079065A" w:rsidRDefault="0079065A" w:rsidP="0079065A">
            <w:pPr>
              <w:spacing w:after="0" w:line="240" w:lineRule="auto"/>
              <w:jc w:val="both"/>
              <w:rPr>
                <w:szCs w:val="24"/>
                <w:lang w:val="lv-LV"/>
              </w:rPr>
            </w:pPr>
            <w:r w:rsidRPr="0079065A">
              <w:rPr>
                <w:szCs w:val="24"/>
                <w:lang w:val="lv-LV"/>
              </w:rPr>
              <w:t>Pakalpojuma veids</w:t>
            </w:r>
          </w:p>
        </w:tc>
        <w:tc>
          <w:tcPr>
            <w:tcW w:w="1368" w:type="dxa"/>
            <w:vAlign w:val="center"/>
          </w:tcPr>
          <w:p w:rsidR="0079065A" w:rsidRPr="0079065A" w:rsidRDefault="0079065A" w:rsidP="0079065A">
            <w:pPr>
              <w:spacing w:after="0" w:line="240" w:lineRule="auto"/>
              <w:jc w:val="both"/>
              <w:rPr>
                <w:szCs w:val="24"/>
                <w:lang w:val="lv-LV"/>
              </w:rPr>
            </w:pPr>
            <w:r w:rsidRPr="0079065A">
              <w:rPr>
                <w:szCs w:val="24"/>
                <w:lang w:val="lv-LV"/>
              </w:rPr>
              <w:t>Mērvienība</w:t>
            </w:r>
          </w:p>
        </w:tc>
        <w:tc>
          <w:tcPr>
            <w:tcW w:w="969" w:type="dxa"/>
            <w:vAlign w:val="center"/>
          </w:tcPr>
          <w:p w:rsidR="0079065A" w:rsidRPr="0079065A" w:rsidRDefault="0079065A" w:rsidP="0079065A">
            <w:pPr>
              <w:spacing w:after="0" w:line="240" w:lineRule="auto"/>
              <w:jc w:val="both"/>
              <w:rPr>
                <w:szCs w:val="24"/>
                <w:lang w:val="lv-LV"/>
              </w:rPr>
            </w:pPr>
            <w:r w:rsidRPr="0079065A">
              <w:rPr>
                <w:szCs w:val="24"/>
                <w:lang w:val="lv-LV"/>
              </w:rPr>
              <w:t>Cena bez PVN (</w:t>
            </w:r>
            <w:r w:rsidRPr="0079065A">
              <w:rPr>
                <w:i/>
                <w:szCs w:val="24"/>
                <w:lang w:val="lv-LV"/>
              </w:rPr>
              <w:t>euro</w:t>
            </w:r>
            <w:r w:rsidRPr="0079065A">
              <w:rPr>
                <w:szCs w:val="24"/>
                <w:lang w:val="lv-LV"/>
              </w:rPr>
              <w:t>)</w:t>
            </w:r>
          </w:p>
        </w:tc>
        <w:tc>
          <w:tcPr>
            <w:tcW w:w="969" w:type="dxa"/>
            <w:vAlign w:val="center"/>
          </w:tcPr>
          <w:p w:rsidR="0079065A" w:rsidRPr="0079065A" w:rsidRDefault="0079065A" w:rsidP="0079065A">
            <w:pPr>
              <w:spacing w:after="0" w:line="240" w:lineRule="auto"/>
              <w:jc w:val="both"/>
              <w:rPr>
                <w:szCs w:val="24"/>
                <w:lang w:val="lv-LV"/>
              </w:rPr>
            </w:pPr>
            <w:r w:rsidRPr="0079065A">
              <w:rPr>
                <w:szCs w:val="24"/>
                <w:lang w:val="lv-LV"/>
              </w:rPr>
              <w:t>PVN</w:t>
            </w:r>
          </w:p>
          <w:p w:rsidR="0079065A" w:rsidRPr="0079065A" w:rsidRDefault="0079065A" w:rsidP="0079065A">
            <w:pPr>
              <w:spacing w:after="0" w:line="240" w:lineRule="auto"/>
              <w:jc w:val="both"/>
              <w:rPr>
                <w:szCs w:val="24"/>
                <w:lang w:val="lv-LV"/>
              </w:rPr>
            </w:pPr>
            <w:r w:rsidRPr="0079065A">
              <w:rPr>
                <w:szCs w:val="24"/>
                <w:lang w:val="lv-LV"/>
              </w:rPr>
              <w:t>(</w:t>
            </w:r>
            <w:r w:rsidRPr="0079065A">
              <w:rPr>
                <w:i/>
                <w:szCs w:val="24"/>
                <w:lang w:val="lv-LV"/>
              </w:rPr>
              <w:t>euro</w:t>
            </w:r>
            <w:r w:rsidRPr="0079065A">
              <w:rPr>
                <w:szCs w:val="24"/>
                <w:lang w:val="lv-LV"/>
              </w:rPr>
              <w:t>)</w:t>
            </w:r>
          </w:p>
        </w:tc>
        <w:tc>
          <w:tcPr>
            <w:tcW w:w="680" w:type="dxa"/>
          </w:tcPr>
          <w:p w:rsidR="0079065A" w:rsidRPr="0079065A" w:rsidRDefault="0079065A" w:rsidP="0079065A">
            <w:pPr>
              <w:spacing w:after="0" w:line="240" w:lineRule="auto"/>
              <w:jc w:val="both"/>
              <w:rPr>
                <w:szCs w:val="24"/>
                <w:lang w:val="lv-LV"/>
              </w:rPr>
            </w:pPr>
          </w:p>
        </w:tc>
        <w:tc>
          <w:tcPr>
            <w:tcW w:w="800" w:type="dxa"/>
          </w:tcPr>
          <w:p w:rsidR="0079065A" w:rsidRPr="0079065A" w:rsidRDefault="0079065A" w:rsidP="0079065A">
            <w:pPr>
              <w:spacing w:after="0" w:line="240" w:lineRule="auto"/>
              <w:jc w:val="both"/>
              <w:rPr>
                <w:szCs w:val="24"/>
                <w:lang w:val="lv-LV"/>
              </w:rPr>
            </w:pPr>
          </w:p>
        </w:tc>
        <w:tc>
          <w:tcPr>
            <w:tcW w:w="969" w:type="dxa"/>
            <w:vAlign w:val="center"/>
          </w:tcPr>
          <w:p w:rsidR="0079065A" w:rsidRPr="0079065A" w:rsidRDefault="0079065A" w:rsidP="0079065A">
            <w:pPr>
              <w:spacing w:after="0" w:line="240" w:lineRule="auto"/>
              <w:jc w:val="both"/>
              <w:rPr>
                <w:szCs w:val="24"/>
                <w:lang w:val="lv-LV"/>
              </w:rPr>
            </w:pPr>
            <w:r w:rsidRPr="0079065A">
              <w:rPr>
                <w:szCs w:val="24"/>
                <w:lang w:val="lv-LV"/>
              </w:rPr>
              <w:t>Cena ar PVN</w:t>
            </w:r>
          </w:p>
          <w:p w:rsidR="0079065A" w:rsidRPr="0079065A" w:rsidRDefault="0079065A" w:rsidP="0079065A">
            <w:pPr>
              <w:spacing w:after="0" w:line="240" w:lineRule="auto"/>
              <w:jc w:val="both"/>
              <w:rPr>
                <w:szCs w:val="24"/>
                <w:lang w:val="lv-LV"/>
              </w:rPr>
            </w:pPr>
            <w:r w:rsidRPr="0079065A">
              <w:rPr>
                <w:szCs w:val="24"/>
                <w:lang w:val="lv-LV"/>
              </w:rPr>
              <w:t>(</w:t>
            </w:r>
            <w:r w:rsidRPr="0079065A">
              <w:rPr>
                <w:i/>
                <w:szCs w:val="24"/>
                <w:lang w:val="lv-LV"/>
              </w:rPr>
              <w:t>euro</w:t>
            </w:r>
            <w:r w:rsidRPr="0079065A">
              <w:rPr>
                <w:szCs w:val="24"/>
                <w:lang w:val="lv-LV"/>
              </w:rPr>
              <w:t>)</w:t>
            </w:r>
          </w:p>
        </w:tc>
      </w:tr>
      <w:tr w:rsidR="0079065A" w:rsidRPr="0079065A" w:rsidTr="0079065A">
        <w:trPr>
          <w:trHeight w:val="397"/>
        </w:trPr>
        <w:tc>
          <w:tcPr>
            <w:tcW w:w="890" w:type="dxa"/>
            <w:vAlign w:val="center"/>
          </w:tcPr>
          <w:p w:rsidR="0079065A" w:rsidRPr="0079065A" w:rsidRDefault="0079065A" w:rsidP="0079065A">
            <w:pPr>
              <w:spacing w:after="0" w:line="240" w:lineRule="auto"/>
              <w:jc w:val="both"/>
              <w:rPr>
                <w:szCs w:val="24"/>
                <w:lang w:val="lv-LV"/>
              </w:rPr>
            </w:pPr>
            <w:r w:rsidRPr="0079065A">
              <w:rPr>
                <w:szCs w:val="24"/>
                <w:lang w:val="lv-LV"/>
              </w:rPr>
              <w:t>4.1.</w:t>
            </w:r>
          </w:p>
        </w:tc>
        <w:tc>
          <w:tcPr>
            <w:tcW w:w="2534" w:type="dxa"/>
            <w:vAlign w:val="center"/>
          </w:tcPr>
          <w:p w:rsidR="0079065A" w:rsidRPr="0079065A" w:rsidRDefault="0079065A" w:rsidP="0079065A">
            <w:pPr>
              <w:spacing w:after="0" w:line="240" w:lineRule="auto"/>
              <w:jc w:val="both"/>
              <w:rPr>
                <w:szCs w:val="24"/>
                <w:lang w:val="lv-LV"/>
              </w:rPr>
            </w:pPr>
            <w:r w:rsidRPr="0079065A">
              <w:rPr>
                <w:szCs w:val="24"/>
                <w:lang w:val="lv-LV"/>
              </w:rPr>
              <w:t>Ieejas biļetes cena</w:t>
            </w:r>
          </w:p>
        </w:tc>
        <w:tc>
          <w:tcPr>
            <w:tcW w:w="1368" w:type="dxa"/>
            <w:vAlign w:val="center"/>
          </w:tcPr>
          <w:p w:rsidR="0079065A" w:rsidRPr="0079065A" w:rsidRDefault="0079065A" w:rsidP="0079065A">
            <w:pPr>
              <w:spacing w:after="0" w:line="240" w:lineRule="auto"/>
              <w:jc w:val="both"/>
              <w:rPr>
                <w:szCs w:val="24"/>
                <w:lang w:val="lv-LV"/>
              </w:rPr>
            </w:pPr>
            <w:r w:rsidRPr="0079065A">
              <w:rPr>
                <w:szCs w:val="24"/>
                <w:lang w:val="lv-LV"/>
              </w:rPr>
              <w:t>1 pasākums</w:t>
            </w:r>
          </w:p>
        </w:tc>
        <w:tc>
          <w:tcPr>
            <w:tcW w:w="969" w:type="dxa"/>
            <w:vAlign w:val="center"/>
          </w:tcPr>
          <w:p w:rsidR="0079065A" w:rsidRPr="0079065A" w:rsidRDefault="0079065A" w:rsidP="0079065A">
            <w:pPr>
              <w:spacing w:after="0" w:line="240" w:lineRule="auto"/>
              <w:jc w:val="both"/>
              <w:rPr>
                <w:szCs w:val="24"/>
                <w:lang w:val="lv-LV"/>
              </w:rPr>
            </w:pPr>
            <w:r w:rsidRPr="0079065A">
              <w:rPr>
                <w:szCs w:val="24"/>
                <w:lang w:val="lv-LV"/>
              </w:rPr>
              <w:t>3,00</w:t>
            </w:r>
          </w:p>
        </w:tc>
        <w:tc>
          <w:tcPr>
            <w:tcW w:w="969" w:type="dxa"/>
            <w:vAlign w:val="center"/>
          </w:tcPr>
          <w:p w:rsidR="0079065A" w:rsidRPr="0079065A" w:rsidRDefault="0079065A" w:rsidP="0079065A">
            <w:pPr>
              <w:spacing w:after="0" w:line="240" w:lineRule="auto"/>
              <w:jc w:val="both"/>
              <w:rPr>
                <w:szCs w:val="24"/>
                <w:lang w:val="lv-LV"/>
              </w:rPr>
            </w:pPr>
            <w:r w:rsidRPr="0079065A">
              <w:rPr>
                <w:szCs w:val="24"/>
                <w:lang w:val="lv-LV"/>
              </w:rPr>
              <w:t>0*</w:t>
            </w:r>
          </w:p>
        </w:tc>
        <w:tc>
          <w:tcPr>
            <w:tcW w:w="680" w:type="dxa"/>
          </w:tcPr>
          <w:p w:rsidR="0079065A" w:rsidRPr="0079065A" w:rsidRDefault="0079065A" w:rsidP="0079065A">
            <w:pPr>
              <w:spacing w:after="0" w:line="240" w:lineRule="auto"/>
              <w:jc w:val="both"/>
              <w:rPr>
                <w:szCs w:val="24"/>
                <w:lang w:val="lv-LV"/>
              </w:rPr>
            </w:pPr>
          </w:p>
        </w:tc>
        <w:tc>
          <w:tcPr>
            <w:tcW w:w="800" w:type="dxa"/>
          </w:tcPr>
          <w:p w:rsidR="0079065A" w:rsidRPr="0079065A" w:rsidRDefault="0079065A" w:rsidP="0079065A">
            <w:pPr>
              <w:spacing w:after="0" w:line="240" w:lineRule="auto"/>
              <w:jc w:val="both"/>
              <w:rPr>
                <w:szCs w:val="24"/>
                <w:lang w:val="lv-LV"/>
              </w:rPr>
            </w:pPr>
          </w:p>
        </w:tc>
        <w:tc>
          <w:tcPr>
            <w:tcW w:w="969" w:type="dxa"/>
            <w:vAlign w:val="center"/>
          </w:tcPr>
          <w:p w:rsidR="0079065A" w:rsidRPr="0079065A" w:rsidRDefault="0079065A" w:rsidP="0079065A">
            <w:pPr>
              <w:spacing w:after="0" w:line="240" w:lineRule="auto"/>
              <w:jc w:val="both"/>
              <w:rPr>
                <w:szCs w:val="24"/>
                <w:lang w:val="lv-LV"/>
              </w:rPr>
            </w:pPr>
            <w:r w:rsidRPr="0079065A">
              <w:rPr>
                <w:szCs w:val="24"/>
                <w:lang w:val="lv-LV"/>
              </w:rPr>
              <w:t>3,00</w:t>
            </w:r>
          </w:p>
        </w:tc>
      </w:tr>
    </w:tbl>
    <w:p w:rsidR="003169FF" w:rsidRPr="0079065A" w:rsidRDefault="003169FF" w:rsidP="0079065A">
      <w:pPr>
        <w:spacing w:after="0" w:line="240" w:lineRule="auto"/>
        <w:jc w:val="both"/>
        <w:rPr>
          <w:szCs w:val="24"/>
          <w:lang w:val="lv-LV"/>
        </w:rPr>
      </w:pPr>
      <w:r w:rsidRPr="0079065A">
        <w:rPr>
          <w:szCs w:val="24"/>
          <w:lang w:val="lv-LV"/>
        </w:rPr>
        <w:t xml:space="preserve">* – PVN nav piemērots, pamatojoties uz Pievienotās </w:t>
      </w:r>
      <w:r w:rsidR="00FD66D2" w:rsidRPr="0079065A">
        <w:rPr>
          <w:szCs w:val="24"/>
          <w:lang w:val="lv-LV"/>
        </w:rPr>
        <w:t>vērtības</w:t>
      </w:r>
      <w:r w:rsidRPr="0079065A">
        <w:rPr>
          <w:szCs w:val="24"/>
          <w:lang w:val="lv-LV"/>
        </w:rPr>
        <w:t xml:space="preserve"> nodokļa likuma 52.panta</w:t>
      </w:r>
      <w:r w:rsidR="001429B1" w:rsidRPr="0079065A">
        <w:rPr>
          <w:szCs w:val="24"/>
          <w:lang w:val="lv-LV"/>
        </w:rPr>
        <w:t xml:space="preserve"> pirmās daļas</w:t>
      </w:r>
      <w:r w:rsidRPr="0079065A">
        <w:rPr>
          <w:szCs w:val="24"/>
          <w:lang w:val="lv-LV"/>
        </w:rPr>
        <w:t xml:space="preserve"> 17</w:t>
      </w:r>
      <w:r w:rsidR="001429B1" w:rsidRPr="0079065A">
        <w:rPr>
          <w:szCs w:val="24"/>
          <w:lang w:val="lv-LV"/>
        </w:rPr>
        <w:t xml:space="preserve">.punkta </w:t>
      </w:r>
      <w:r w:rsidR="008C6EA5" w:rsidRPr="0079065A">
        <w:rPr>
          <w:szCs w:val="24"/>
          <w:lang w:val="lv-LV"/>
        </w:rPr>
        <w:t xml:space="preserve">a) un </w:t>
      </w:r>
      <w:r w:rsidRPr="0079065A">
        <w:rPr>
          <w:szCs w:val="24"/>
          <w:lang w:val="lv-LV"/>
        </w:rPr>
        <w:t>b</w:t>
      </w:r>
      <w:r w:rsidR="008C6EA5" w:rsidRPr="0079065A">
        <w:rPr>
          <w:szCs w:val="24"/>
          <w:lang w:val="lv-LV"/>
        </w:rPr>
        <w:t>)</w:t>
      </w:r>
      <w:r w:rsidRPr="0079065A">
        <w:rPr>
          <w:szCs w:val="24"/>
          <w:lang w:val="lv-LV"/>
        </w:rPr>
        <w:t xml:space="preserve"> </w:t>
      </w:r>
      <w:r w:rsidR="008C6EA5" w:rsidRPr="0079065A">
        <w:rPr>
          <w:szCs w:val="24"/>
          <w:lang w:val="lv-LV"/>
        </w:rPr>
        <w:t>apakš</w:t>
      </w:r>
      <w:r w:rsidRPr="0079065A">
        <w:rPr>
          <w:szCs w:val="24"/>
          <w:lang w:val="lv-LV"/>
        </w:rPr>
        <w:t>punktiem.</w:t>
      </w:r>
    </w:p>
    <w:p w:rsidR="0079065A" w:rsidRDefault="0079065A" w:rsidP="0079065A">
      <w:pPr>
        <w:spacing w:after="0" w:line="240" w:lineRule="auto"/>
        <w:ind w:firstLine="567"/>
        <w:jc w:val="both"/>
        <w:rPr>
          <w:szCs w:val="24"/>
          <w:lang w:val="lv-LV"/>
        </w:rPr>
      </w:pPr>
    </w:p>
    <w:p w:rsidR="003169FF" w:rsidRPr="0079065A" w:rsidRDefault="003169FF" w:rsidP="0079065A">
      <w:pPr>
        <w:spacing w:after="0" w:line="240" w:lineRule="auto"/>
        <w:ind w:firstLine="567"/>
        <w:jc w:val="both"/>
        <w:rPr>
          <w:szCs w:val="24"/>
          <w:lang w:val="lv-LV"/>
        </w:rPr>
      </w:pPr>
      <w:r w:rsidRPr="0079065A">
        <w:rPr>
          <w:szCs w:val="24"/>
          <w:lang w:val="lv-LV"/>
        </w:rPr>
        <w:t xml:space="preserve">5. </w:t>
      </w:r>
      <w:r w:rsidR="00447A2F" w:rsidRPr="0079065A">
        <w:rPr>
          <w:szCs w:val="24"/>
          <w:lang w:val="lv-LV"/>
        </w:rPr>
        <w:t>Atļaut bez</w:t>
      </w:r>
      <w:r w:rsidR="008C6EA5" w:rsidRPr="0079065A">
        <w:rPr>
          <w:szCs w:val="24"/>
          <w:lang w:val="lv-LV"/>
        </w:rPr>
        <w:t xml:space="preserve"> </w:t>
      </w:r>
      <w:r w:rsidR="00447A2F" w:rsidRPr="0079065A">
        <w:rPr>
          <w:szCs w:val="24"/>
          <w:lang w:val="lv-LV"/>
        </w:rPr>
        <w:t xml:space="preserve">atlīdzības izmantot </w:t>
      </w:r>
      <w:r w:rsidR="008C6EA5" w:rsidRPr="0079065A">
        <w:rPr>
          <w:szCs w:val="24"/>
          <w:lang w:val="lv-LV"/>
        </w:rPr>
        <w:t>Iestādes</w:t>
      </w:r>
      <w:r w:rsidRPr="0079065A">
        <w:rPr>
          <w:szCs w:val="24"/>
          <w:lang w:val="lv-LV"/>
        </w:rPr>
        <w:t xml:space="preserve"> </w:t>
      </w:r>
      <w:r w:rsidR="00822D8C" w:rsidRPr="0079065A">
        <w:rPr>
          <w:szCs w:val="24"/>
          <w:lang w:val="lv-LV"/>
        </w:rPr>
        <w:t>bilancē esošo lielo</w:t>
      </w:r>
      <w:r w:rsidR="001A6F74" w:rsidRPr="0079065A">
        <w:rPr>
          <w:szCs w:val="24"/>
          <w:lang w:val="lv-LV"/>
        </w:rPr>
        <w:t>,</w:t>
      </w:r>
      <w:r w:rsidR="00822D8C" w:rsidRPr="0079065A">
        <w:rPr>
          <w:szCs w:val="24"/>
          <w:lang w:val="lv-LV"/>
        </w:rPr>
        <w:t xml:space="preserve"> mazo koncertzāl</w:t>
      </w:r>
      <w:r w:rsidR="008C6EA5" w:rsidRPr="0079065A">
        <w:rPr>
          <w:szCs w:val="24"/>
          <w:lang w:val="lv-LV"/>
        </w:rPr>
        <w:t>i</w:t>
      </w:r>
      <w:r w:rsidR="001A6F74" w:rsidRPr="0079065A">
        <w:rPr>
          <w:szCs w:val="24"/>
          <w:lang w:val="lv-LV"/>
        </w:rPr>
        <w:t xml:space="preserve">, 1. un 2.stāva foajē telpas, kustamo </w:t>
      </w:r>
      <w:r w:rsidRPr="0079065A">
        <w:rPr>
          <w:szCs w:val="24"/>
          <w:lang w:val="lv-LV"/>
        </w:rPr>
        <w:t xml:space="preserve">mantu </w:t>
      </w:r>
      <w:r w:rsidR="004B653B" w:rsidRPr="0079065A">
        <w:rPr>
          <w:szCs w:val="24"/>
          <w:lang w:val="lv-LV"/>
        </w:rPr>
        <w:t>Daugavpils pilsētas pašvaldības iestādēm</w:t>
      </w:r>
      <w:r w:rsidR="00365681" w:rsidRPr="0079065A">
        <w:rPr>
          <w:szCs w:val="24"/>
          <w:lang w:val="lv-LV"/>
        </w:rPr>
        <w:t xml:space="preserve"> </w:t>
      </w:r>
      <w:r w:rsidR="004B653B" w:rsidRPr="0079065A">
        <w:rPr>
          <w:szCs w:val="24"/>
          <w:lang w:val="lv-LV"/>
        </w:rPr>
        <w:t>pasākumu rīkošanai</w:t>
      </w:r>
      <w:r w:rsidRPr="0079065A">
        <w:rPr>
          <w:szCs w:val="24"/>
          <w:lang w:val="lv-LV"/>
        </w:rPr>
        <w:t xml:space="preserve">, </w:t>
      </w:r>
      <w:r w:rsidR="008C6EA5" w:rsidRPr="0079065A">
        <w:rPr>
          <w:szCs w:val="24"/>
          <w:lang w:val="lv-LV"/>
        </w:rPr>
        <w:t>saskaņojot ar</w:t>
      </w:r>
      <w:r w:rsidRPr="0079065A">
        <w:rPr>
          <w:szCs w:val="24"/>
          <w:lang w:val="lv-LV"/>
        </w:rPr>
        <w:t xml:space="preserve"> </w:t>
      </w:r>
      <w:r w:rsidR="008C6EA5" w:rsidRPr="0079065A">
        <w:rPr>
          <w:szCs w:val="24"/>
          <w:lang w:val="lv-LV"/>
        </w:rPr>
        <w:t>Iestādes vadītāju</w:t>
      </w:r>
      <w:r w:rsidRPr="0079065A">
        <w:rPr>
          <w:szCs w:val="24"/>
          <w:lang w:val="lv-LV"/>
        </w:rPr>
        <w:t xml:space="preserve">. </w:t>
      </w:r>
    </w:p>
    <w:p w:rsidR="00123B36" w:rsidRPr="0079065A" w:rsidRDefault="00123B36" w:rsidP="0079065A">
      <w:pPr>
        <w:spacing w:after="0" w:line="240" w:lineRule="auto"/>
        <w:ind w:firstLine="567"/>
        <w:jc w:val="both"/>
        <w:rPr>
          <w:szCs w:val="24"/>
          <w:lang w:val="lv-LV"/>
        </w:rPr>
      </w:pPr>
      <w:r w:rsidRPr="0079065A">
        <w:rPr>
          <w:szCs w:val="24"/>
          <w:lang w:val="lv-LV"/>
        </w:rPr>
        <w:t xml:space="preserve">6. </w:t>
      </w:r>
      <w:r w:rsidR="00804159" w:rsidRPr="0079065A">
        <w:rPr>
          <w:szCs w:val="24"/>
          <w:lang w:val="lv-LV"/>
        </w:rPr>
        <w:t xml:space="preserve">Personām, kuras darbojas sabiedrības labā un telpu izmantošanas mērķis nav paredzēts peļņas gūšanai, un publiskām personām </w:t>
      </w:r>
      <w:r w:rsidR="004A4F1F" w:rsidRPr="0079065A">
        <w:rPr>
          <w:szCs w:val="24"/>
          <w:lang w:val="lv-LV"/>
        </w:rPr>
        <w:t>var tikt</w:t>
      </w:r>
      <w:r w:rsidRPr="0079065A">
        <w:rPr>
          <w:szCs w:val="24"/>
          <w:lang w:val="lv-LV"/>
        </w:rPr>
        <w:t xml:space="preserve"> piemērota </w:t>
      </w:r>
      <w:r w:rsidR="00700634" w:rsidRPr="0079065A">
        <w:rPr>
          <w:szCs w:val="24"/>
          <w:lang w:val="lv-LV"/>
        </w:rPr>
        <w:t>4</w:t>
      </w:r>
      <w:r w:rsidRPr="0079065A">
        <w:rPr>
          <w:szCs w:val="24"/>
          <w:lang w:val="lv-LV"/>
        </w:rPr>
        <w:t>0% atlaide no šī lēmuma norādītajiem izcenojumiem</w:t>
      </w:r>
      <w:r w:rsidR="004A4F1F" w:rsidRPr="0079065A">
        <w:rPr>
          <w:szCs w:val="24"/>
          <w:lang w:val="lv-LV"/>
        </w:rPr>
        <w:t xml:space="preserve"> par bilancē esošās kustamās un nekustamās mantas iznomāšan</w:t>
      </w:r>
      <w:r w:rsidR="00002FEB" w:rsidRPr="0079065A">
        <w:rPr>
          <w:szCs w:val="24"/>
          <w:lang w:val="lv-LV"/>
        </w:rPr>
        <w:t>u</w:t>
      </w:r>
      <w:r w:rsidRPr="0079065A">
        <w:rPr>
          <w:szCs w:val="24"/>
          <w:lang w:val="lv-LV"/>
        </w:rPr>
        <w:t>.</w:t>
      </w:r>
    </w:p>
    <w:p w:rsidR="003169FF" w:rsidRPr="0079065A" w:rsidRDefault="00123B36" w:rsidP="0079065A">
      <w:pPr>
        <w:spacing w:after="0" w:line="240" w:lineRule="auto"/>
        <w:ind w:firstLine="567"/>
        <w:jc w:val="both"/>
        <w:rPr>
          <w:bCs/>
          <w:szCs w:val="24"/>
          <w:lang w:val="lv-LV"/>
        </w:rPr>
      </w:pPr>
      <w:r w:rsidRPr="0079065A">
        <w:rPr>
          <w:bCs/>
          <w:szCs w:val="24"/>
          <w:lang w:val="lv-LV"/>
        </w:rPr>
        <w:t>7</w:t>
      </w:r>
      <w:r w:rsidR="003169FF" w:rsidRPr="0079065A">
        <w:rPr>
          <w:bCs/>
          <w:szCs w:val="24"/>
          <w:lang w:val="lv-LV"/>
        </w:rPr>
        <w:t>. Atzīt par spēku zaudējušu Daugavpils pilsētas domes 2014.gada 25.septembra lēmumu Nr.466 „Par Daugavpils pilsētas domes budžeta iestādes „Kultūras pils” nomas maksas pakalpojumu cenrāža apstiprināšanu”.</w:t>
      </w:r>
    </w:p>
    <w:p w:rsidR="003169FF" w:rsidRPr="0079065A" w:rsidRDefault="003169FF" w:rsidP="0079065A">
      <w:pPr>
        <w:spacing w:after="0" w:line="240" w:lineRule="auto"/>
        <w:ind w:left="360"/>
        <w:jc w:val="both"/>
        <w:rPr>
          <w:szCs w:val="24"/>
          <w:lang w:val="lv-LV"/>
        </w:rPr>
      </w:pPr>
    </w:p>
    <w:p w:rsidR="005D4651" w:rsidRDefault="003169FF" w:rsidP="0079065A">
      <w:pPr>
        <w:spacing w:after="0" w:line="240" w:lineRule="auto"/>
        <w:jc w:val="both"/>
        <w:rPr>
          <w:szCs w:val="24"/>
          <w:lang w:val="lv-LV"/>
        </w:rPr>
      </w:pPr>
      <w:r w:rsidRPr="0079065A">
        <w:rPr>
          <w:szCs w:val="24"/>
          <w:lang w:val="lv-LV"/>
        </w:rPr>
        <w:t xml:space="preserve">Pielikumā: </w:t>
      </w:r>
      <w:r w:rsidR="008C6EA5" w:rsidRPr="0079065A">
        <w:rPr>
          <w:szCs w:val="24"/>
          <w:lang w:val="lv-LV"/>
        </w:rPr>
        <w:t>Iestādes s</w:t>
      </w:r>
      <w:r w:rsidRPr="0079065A">
        <w:rPr>
          <w:szCs w:val="24"/>
          <w:lang w:val="lv-LV"/>
        </w:rPr>
        <w:t>kaņas, gaismas aparatūras un kustamās mantas nomas maksas cenrādis</w:t>
      </w:r>
      <w:r w:rsidR="00574882">
        <w:rPr>
          <w:szCs w:val="24"/>
          <w:lang w:val="lv-LV"/>
        </w:rPr>
        <w:t>.</w:t>
      </w:r>
      <w:r w:rsidR="005D4651">
        <w:rPr>
          <w:szCs w:val="24"/>
          <w:lang w:val="lv-LV"/>
        </w:rPr>
        <w:t xml:space="preserve"> </w:t>
      </w:r>
    </w:p>
    <w:p w:rsidR="003169FF" w:rsidRPr="0079065A" w:rsidRDefault="003169FF" w:rsidP="0079065A">
      <w:pPr>
        <w:spacing w:after="0" w:line="240" w:lineRule="auto"/>
        <w:jc w:val="both"/>
        <w:rPr>
          <w:szCs w:val="24"/>
          <w:lang w:val="lv-LV"/>
        </w:rPr>
      </w:pPr>
    </w:p>
    <w:p w:rsidR="003169FF" w:rsidRPr="0079065A" w:rsidRDefault="003169FF" w:rsidP="0079065A">
      <w:pPr>
        <w:spacing w:after="0" w:line="240" w:lineRule="auto"/>
        <w:jc w:val="both"/>
        <w:rPr>
          <w:szCs w:val="24"/>
          <w:lang w:val="lv-LV"/>
        </w:rPr>
      </w:pPr>
    </w:p>
    <w:p w:rsidR="003169FF" w:rsidRPr="0079065A" w:rsidRDefault="0079065A" w:rsidP="0079065A">
      <w:pPr>
        <w:pStyle w:val="Heading3"/>
        <w:spacing w:before="0" w:after="0" w:line="240" w:lineRule="auto"/>
        <w:jc w:val="both"/>
        <w:rPr>
          <w:rFonts w:ascii="Times New Roman" w:hAnsi="Times New Roman"/>
          <w:b w:val="0"/>
          <w:sz w:val="24"/>
          <w:szCs w:val="24"/>
          <w:lang w:val="lv-LV"/>
        </w:rPr>
      </w:pPr>
      <w:r>
        <w:rPr>
          <w:rFonts w:ascii="Times New Roman" w:hAnsi="Times New Roman"/>
          <w:b w:val="0"/>
          <w:sz w:val="24"/>
          <w:szCs w:val="24"/>
          <w:lang w:val="lv-LV"/>
        </w:rPr>
        <w:t>D</w:t>
      </w:r>
      <w:r w:rsidR="003169FF" w:rsidRPr="0079065A">
        <w:rPr>
          <w:rFonts w:ascii="Times New Roman" w:hAnsi="Times New Roman"/>
          <w:b w:val="0"/>
          <w:sz w:val="24"/>
          <w:szCs w:val="24"/>
          <w:lang w:val="lv-LV"/>
        </w:rPr>
        <w:t>omes priekšsēdētājs</w:t>
      </w:r>
      <w:r w:rsidR="003169FF" w:rsidRPr="0079065A">
        <w:rPr>
          <w:rFonts w:ascii="Times New Roman" w:hAnsi="Times New Roman"/>
          <w:b w:val="0"/>
          <w:sz w:val="24"/>
          <w:szCs w:val="24"/>
          <w:lang w:val="lv-LV"/>
        </w:rPr>
        <w:tab/>
      </w:r>
      <w:r>
        <w:rPr>
          <w:rFonts w:ascii="Times New Roman" w:hAnsi="Times New Roman"/>
          <w:b w:val="0"/>
          <w:sz w:val="24"/>
          <w:szCs w:val="24"/>
          <w:lang w:val="lv-LV"/>
        </w:rPr>
        <w:t xml:space="preserve">             </w:t>
      </w:r>
      <w:r w:rsidR="00574882" w:rsidRPr="00574882">
        <w:rPr>
          <w:rFonts w:ascii="Times New Roman" w:hAnsi="Times New Roman"/>
          <w:b w:val="0"/>
          <w:i/>
          <w:sz w:val="24"/>
          <w:szCs w:val="24"/>
          <w:lang w:val="lv-LV"/>
        </w:rPr>
        <w:t>(personiskais paraksts)</w:t>
      </w:r>
      <w:r>
        <w:rPr>
          <w:rFonts w:ascii="Times New Roman" w:hAnsi="Times New Roman"/>
          <w:b w:val="0"/>
          <w:sz w:val="24"/>
          <w:szCs w:val="24"/>
          <w:lang w:val="lv-LV"/>
        </w:rPr>
        <w:t xml:space="preserve">                                            </w:t>
      </w:r>
      <w:proofErr w:type="spellStart"/>
      <w:r w:rsidR="003169FF" w:rsidRPr="0079065A">
        <w:rPr>
          <w:rFonts w:ascii="Times New Roman" w:hAnsi="Times New Roman"/>
          <w:b w:val="0"/>
          <w:sz w:val="24"/>
          <w:szCs w:val="24"/>
          <w:lang w:val="lv-LV"/>
        </w:rPr>
        <w:t>A.Elksniņš</w:t>
      </w:r>
      <w:proofErr w:type="spellEnd"/>
    </w:p>
    <w:p w:rsidR="003169FF" w:rsidRPr="0079065A" w:rsidRDefault="003169FF" w:rsidP="0079065A">
      <w:pPr>
        <w:spacing w:after="0" w:line="240" w:lineRule="auto"/>
        <w:jc w:val="both"/>
        <w:rPr>
          <w:szCs w:val="24"/>
          <w:lang w:val="lv-LV"/>
        </w:rPr>
      </w:pPr>
    </w:p>
    <w:sectPr w:rsidR="003169FF" w:rsidRPr="0079065A" w:rsidSect="00574882">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882" w:rsidRDefault="00574882" w:rsidP="00574882">
      <w:pPr>
        <w:spacing w:after="0" w:line="240" w:lineRule="auto"/>
      </w:pPr>
      <w:r>
        <w:separator/>
      </w:r>
    </w:p>
  </w:endnote>
  <w:endnote w:type="continuationSeparator" w:id="0">
    <w:p w:rsidR="00574882" w:rsidRDefault="00574882" w:rsidP="0057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882" w:rsidRDefault="00574882" w:rsidP="00574882">
      <w:pPr>
        <w:spacing w:after="0" w:line="240" w:lineRule="auto"/>
      </w:pPr>
      <w:r>
        <w:separator/>
      </w:r>
    </w:p>
  </w:footnote>
  <w:footnote w:type="continuationSeparator" w:id="0">
    <w:p w:rsidR="00574882" w:rsidRDefault="00574882" w:rsidP="00574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134757"/>
      <w:docPartObj>
        <w:docPartGallery w:val="Page Numbers (Top of Page)"/>
        <w:docPartUnique/>
      </w:docPartObj>
    </w:sdtPr>
    <w:sdtEndPr>
      <w:rPr>
        <w:noProof/>
      </w:rPr>
    </w:sdtEndPr>
    <w:sdtContent>
      <w:p w:rsidR="00574882" w:rsidRDefault="00574882">
        <w:pPr>
          <w:pStyle w:val="Header"/>
          <w:jc w:val="center"/>
        </w:pPr>
        <w:r>
          <w:fldChar w:fldCharType="begin"/>
        </w:r>
        <w:r>
          <w:instrText xml:space="preserve"> PAGE   \* MERGEFORMAT </w:instrText>
        </w:r>
        <w:r>
          <w:fldChar w:fldCharType="separate"/>
        </w:r>
        <w:r w:rsidR="00B9205C">
          <w:rPr>
            <w:noProof/>
          </w:rPr>
          <w:t>2</w:t>
        </w:r>
        <w:r>
          <w:rPr>
            <w:noProof/>
          </w:rPr>
          <w:fldChar w:fldCharType="end"/>
        </w:r>
      </w:p>
    </w:sdtContent>
  </w:sdt>
  <w:p w:rsidR="00574882" w:rsidRDefault="005748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C4D15"/>
    <w:multiLevelType w:val="hybridMultilevel"/>
    <w:tmpl w:val="740EBE66"/>
    <w:lvl w:ilvl="0" w:tplc="803639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9FF"/>
    <w:rsid w:val="00002FEB"/>
    <w:rsid w:val="0001031A"/>
    <w:rsid w:val="00087E16"/>
    <w:rsid w:val="000C1090"/>
    <w:rsid w:val="00123B36"/>
    <w:rsid w:val="001429B1"/>
    <w:rsid w:val="001A0D20"/>
    <w:rsid w:val="001A6F74"/>
    <w:rsid w:val="002323FD"/>
    <w:rsid w:val="002E0058"/>
    <w:rsid w:val="003169FF"/>
    <w:rsid w:val="00365681"/>
    <w:rsid w:val="00447A2F"/>
    <w:rsid w:val="004A4F1F"/>
    <w:rsid w:val="004B653B"/>
    <w:rsid w:val="00574882"/>
    <w:rsid w:val="0058021D"/>
    <w:rsid w:val="005D4651"/>
    <w:rsid w:val="006135D7"/>
    <w:rsid w:val="006558AB"/>
    <w:rsid w:val="00700634"/>
    <w:rsid w:val="00763EE0"/>
    <w:rsid w:val="0079065A"/>
    <w:rsid w:val="00804159"/>
    <w:rsid w:val="00822D8C"/>
    <w:rsid w:val="008C6EA5"/>
    <w:rsid w:val="009B061D"/>
    <w:rsid w:val="00A364DC"/>
    <w:rsid w:val="00AC5933"/>
    <w:rsid w:val="00B54267"/>
    <w:rsid w:val="00B80796"/>
    <w:rsid w:val="00B9205C"/>
    <w:rsid w:val="00CA0982"/>
    <w:rsid w:val="00CA1ADB"/>
    <w:rsid w:val="00DA2CC4"/>
    <w:rsid w:val="00EE1CEF"/>
    <w:rsid w:val="00F20A57"/>
    <w:rsid w:val="00F247FB"/>
    <w:rsid w:val="00FD66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48EA6CB4-9570-4B09-8752-6C69DA4B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9FF"/>
    <w:rPr>
      <w:rFonts w:ascii="Times New Roman" w:eastAsia="Calibri" w:hAnsi="Times New Roman" w:cs="Times New Roman"/>
      <w:sz w:val="24"/>
      <w:szCs w:val="28"/>
      <w:lang w:val="ru-RU"/>
    </w:rPr>
  </w:style>
  <w:style w:type="paragraph" w:styleId="Heading1">
    <w:name w:val="heading 1"/>
    <w:basedOn w:val="Normal"/>
    <w:next w:val="Normal"/>
    <w:link w:val="Heading1Char"/>
    <w:qFormat/>
    <w:rsid w:val="003169FF"/>
    <w:pPr>
      <w:keepNext/>
      <w:spacing w:after="0" w:line="360" w:lineRule="auto"/>
      <w:jc w:val="both"/>
      <w:outlineLvl w:val="0"/>
    </w:pPr>
    <w:rPr>
      <w:b/>
      <w:lang w:val="lv-LV"/>
    </w:rPr>
  </w:style>
  <w:style w:type="paragraph" w:styleId="Heading3">
    <w:name w:val="heading 3"/>
    <w:basedOn w:val="Normal"/>
    <w:next w:val="Normal"/>
    <w:link w:val="Heading3Char"/>
    <w:uiPriority w:val="9"/>
    <w:semiHidden/>
    <w:unhideWhenUsed/>
    <w:qFormat/>
    <w:rsid w:val="003169F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69FF"/>
    <w:rPr>
      <w:rFonts w:ascii="Times New Roman" w:eastAsia="Calibri" w:hAnsi="Times New Roman" w:cs="Times New Roman"/>
      <w:b/>
      <w:sz w:val="24"/>
      <w:szCs w:val="28"/>
    </w:rPr>
  </w:style>
  <w:style w:type="character" w:customStyle="1" w:styleId="Heading3Char">
    <w:name w:val="Heading 3 Char"/>
    <w:basedOn w:val="DefaultParagraphFont"/>
    <w:link w:val="Heading3"/>
    <w:uiPriority w:val="9"/>
    <w:semiHidden/>
    <w:rsid w:val="003169FF"/>
    <w:rPr>
      <w:rFonts w:ascii="Cambria" w:eastAsia="Times New Roman" w:hAnsi="Cambria" w:cs="Times New Roman"/>
      <w:b/>
      <w:bCs/>
      <w:sz w:val="26"/>
      <w:szCs w:val="26"/>
      <w:lang w:val="ru-RU"/>
    </w:rPr>
  </w:style>
  <w:style w:type="paragraph" w:customStyle="1" w:styleId="a">
    <w:name w:val="Абзац списка"/>
    <w:basedOn w:val="Normal"/>
    <w:qFormat/>
    <w:rsid w:val="003169FF"/>
    <w:pPr>
      <w:ind w:left="720"/>
      <w:contextualSpacing/>
    </w:pPr>
  </w:style>
  <w:style w:type="paragraph" w:styleId="BodyTextIndent2">
    <w:name w:val="Body Text Indent 2"/>
    <w:basedOn w:val="Normal"/>
    <w:link w:val="BodyTextIndent2Char"/>
    <w:semiHidden/>
    <w:rsid w:val="003169FF"/>
    <w:pPr>
      <w:spacing w:after="0" w:line="360" w:lineRule="auto"/>
      <w:ind w:firstLine="709"/>
    </w:pPr>
    <w:rPr>
      <w:lang w:val="lv-LV"/>
    </w:rPr>
  </w:style>
  <w:style w:type="character" w:customStyle="1" w:styleId="BodyTextIndent2Char">
    <w:name w:val="Body Text Indent 2 Char"/>
    <w:basedOn w:val="DefaultParagraphFont"/>
    <w:link w:val="BodyTextIndent2"/>
    <w:semiHidden/>
    <w:rsid w:val="003169FF"/>
    <w:rPr>
      <w:rFonts w:ascii="Times New Roman" w:eastAsia="Calibri" w:hAnsi="Times New Roman" w:cs="Times New Roman"/>
      <w:sz w:val="24"/>
      <w:szCs w:val="28"/>
    </w:rPr>
  </w:style>
  <w:style w:type="paragraph" w:styleId="BodyText">
    <w:name w:val="Body Text"/>
    <w:basedOn w:val="Normal"/>
    <w:link w:val="BodyTextChar"/>
    <w:uiPriority w:val="99"/>
    <w:unhideWhenUsed/>
    <w:rsid w:val="003169FF"/>
    <w:pPr>
      <w:spacing w:after="120"/>
    </w:pPr>
  </w:style>
  <w:style w:type="character" w:customStyle="1" w:styleId="BodyTextChar">
    <w:name w:val="Body Text Char"/>
    <w:basedOn w:val="DefaultParagraphFont"/>
    <w:link w:val="BodyText"/>
    <w:uiPriority w:val="99"/>
    <w:rsid w:val="003169FF"/>
    <w:rPr>
      <w:rFonts w:ascii="Times New Roman" w:eastAsia="Calibri" w:hAnsi="Times New Roman" w:cs="Times New Roman"/>
      <w:sz w:val="24"/>
      <w:szCs w:val="28"/>
      <w:lang w:val="ru-RU"/>
    </w:rPr>
  </w:style>
  <w:style w:type="paragraph" w:customStyle="1" w:styleId="tv2132">
    <w:name w:val="tv2132"/>
    <w:basedOn w:val="Normal"/>
    <w:rsid w:val="003169FF"/>
    <w:pPr>
      <w:spacing w:after="0" w:line="360" w:lineRule="auto"/>
      <w:ind w:firstLine="300"/>
    </w:pPr>
    <w:rPr>
      <w:rFonts w:eastAsia="Times New Roman"/>
      <w:color w:val="414142"/>
      <w:sz w:val="20"/>
      <w:szCs w:val="20"/>
      <w:lang w:val="lv-LV" w:eastAsia="lv-LV"/>
    </w:rPr>
  </w:style>
  <w:style w:type="paragraph" w:styleId="BalloonText">
    <w:name w:val="Balloon Text"/>
    <w:basedOn w:val="Normal"/>
    <w:link w:val="BalloonTextChar"/>
    <w:uiPriority w:val="99"/>
    <w:semiHidden/>
    <w:unhideWhenUsed/>
    <w:rsid w:val="00142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9B1"/>
    <w:rPr>
      <w:rFonts w:ascii="Segoe UI" w:eastAsia="Calibri" w:hAnsi="Segoe UI" w:cs="Segoe UI"/>
      <w:sz w:val="18"/>
      <w:szCs w:val="18"/>
      <w:lang w:val="ru-RU"/>
    </w:rPr>
  </w:style>
  <w:style w:type="paragraph" w:styleId="Title">
    <w:name w:val="Title"/>
    <w:basedOn w:val="Normal"/>
    <w:link w:val="TitleChar"/>
    <w:qFormat/>
    <w:rsid w:val="0079065A"/>
    <w:pPr>
      <w:spacing w:after="0" w:line="240" w:lineRule="auto"/>
      <w:jc w:val="center"/>
    </w:pPr>
    <w:rPr>
      <w:rFonts w:eastAsia="Times New Roman"/>
      <w:b/>
      <w:sz w:val="28"/>
      <w:szCs w:val="20"/>
      <w:lang w:val="lv-LV" w:eastAsia="ru-RU"/>
    </w:rPr>
  </w:style>
  <w:style w:type="character" w:customStyle="1" w:styleId="TitleChar">
    <w:name w:val="Title Char"/>
    <w:basedOn w:val="DefaultParagraphFont"/>
    <w:link w:val="Title"/>
    <w:rsid w:val="0079065A"/>
    <w:rPr>
      <w:rFonts w:ascii="Times New Roman" w:eastAsia="Times New Roman" w:hAnsi="Times New Roman" w:cs="Times New Roman"/>
      <w:b/>
      <w:sz w:val="28"/>
      <w:szCs w:val="20"/>
      <w:lang w:eastAsia="ru-RU"/>
    </w:rPr>
  </w:style>
  <w:style w:type="paragraph" w:styleId="Header">
    <w:name w:val="header"/>
    <w:basedOn w:val="Normal"/>
    <w:link w:val="HeaderChar"/>
    <w:uiPriority w:val="99"/>
    <w:unhideWhenUsed/>
    <w:rsid w:val="005748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4882"/>
    <w:rPr>
      <w:rFonts w:ascii="Times New Roman" w:eastAsia="Calibri" w:hAnsi="Times New Roman" w:cs="Times New Roman"/>
      <w:sz w:val="24"/>
      <w:szCs w:val="28"/>
      <w:lang w:val="ru-RU"/>
    </w:rPr>
  </w:style>
  <w:style w:type="paragraph" w:styleId="Footer">
    <w:name w:val="footer"/>
    <w:basedOn w:val="Normal"/>
    <w:link w:val="FooterChar"/>
    <w:uiPriority w:val="99"/>
    <w:unhideWhenUsed/>
    <w:rsid w:val="005748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4882"/>
    <w:rPr>
      <w:rFonts w:ascii="Times New Roman" w:eastAsia="Calibri" w:hAnsi="Times New Roman" w:cs="Times New Roman"/>
      <w:sz w:val="24"/>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2487</Words>
  <Characters>1418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Zolotuhina</dc:creator>
  <cp:lastModifiedBy>Ina Skipare</cp:lastModifiedBy>
  <cp:revision>21</cp:revision>
  <cp:lastPrinted>2019-08-15T08:40:00Z</cp:lastPrinted>
  <dcterms:created xsi:type="dcterms:W3CDTF">2019-06-17T08:04:00Z</dcterms:created>
  <dcterms:modified xsi:type="dcterms:W3CDTF">2019-08-20T06:35:00Z</dcterms:modified>
</cp:coreProperties>
</file>